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0"/>
        <w:jc w:val="center"/>
      </w:pPr>
      <w:r>
        <w:rPr>
          <w:b/>
          <w:bCs/>
          <w:color w:val="1F4E79"/>
          <w:sz w:val="44"/>
          <w:szCs w:val="44"/>
        </w:rPr>
        <w:t xml:space="preserve">宁德时代（300750.SZ）深度研究报告</w:t>
      </w:r>
    </w:p>
    <w:p>
      <w:pPr>
        <w:spacing w:after="600"/>
        <w:jc w:val="center"/>
      </w:pPr>
      <w:r>
        <w:rPr>
          <w:color w:val="2E75B6"/>
          <w:sz w:val="28"/>
          <w:szCs w:val="28"/>
        </w:rPr>
        <w:t xml:space="preserve">全球动力电池龙头：市占率再创新高，储能业务加速爆发</w:t>
      </w:r>
    </w:p>
    <w:p>
      <w:pPr>
        <w:spacing w:after="200"/>
        <w:jc w:val="center"/>
      </w:pPr>
      <w:r>
        <w:rPr>
          <w:sz w:val="22"/>
          <w:szCs w:val="22"/>
        </w:rPr>
        <w:t xml:space="preserve">行业：电力设备 / 电池   |   评级：买入（首次覆盖）</w:t>
      </w:r>
    </w:p>
    <w:p>
      <w:pPr>
        <w:spacing w:after="1200"/>
        <w:jc w:val="center"/>
      </w:pPr>
      <w:r>
        <w:rPr>
          <w:color w:val="808080"/>
          <w:sz w:val="22"/>
          <w:szCs w:val="22"/>
        </w:rPr>
        <w:t xml:space="preserve">报告日期：2026年4月21日</w:t>
      </w:r>
    </w:p>
    <w:p>
      <w:pPr>
        <w:spacing w:after="120"/>
        <w:jc w:val="center"/>
      </w:pPr>
      <w:r>
        <w:rPr>
          <w:i/>
          <w:iCs/>
          <w:color w:val="808080"/>
          <w:sz w:val="20"/>
          <w:szCs w:val="20"/>
        </w:rPr>
        <w:t xml:space="preserve">由 WorkBuddy 智能投研助手自动生成</w:t>
      </w:r>
    </w:p>
    <w:p>
      <w:pPr>
        <w:jc w:val="center"/>
      </w:pPr>
      <w:r>
        <w:rPr>
          <w:i/>
          <w:iCs/>
          <w:color w:val="C00000"/>
          <w:sz w:val="18"/>
          <w:szCs w:val="18"/>
        </w:rPr>
        <w:t xml:space="preserve">（本报告仅用于技术演示，不构成投资建议）</w:t>
      </w:r>
    </w:p>
    <w:p>
      <w:r>
        <w:br w:type="page"/>
      </w:r>
    </w:p>
    <w:p>
      <w:pPr>
        <w:pStyle w:val="Heading1"/>
      </w:pPr>
      <w:r>
        <w:t xml:space="preserve">一、核心观点</w:t>
      </w:r>
    </w:p>
    <w:p>
      <w:pPr>
        <w:spacing w:after="100" w:line="330"/>
      </w:pPr>
      <w:r>
        <w:t xml:space="preserve">宁德时代（300750.SZ）作为全球动力电池龙头，2025 年实现营业总收入 4237.02 亿元（同比+17.04%），归母净利润 722.01 亿元（同比+42.28%），业绩超市场预期。公司凭借技术领先、全球产能布局以及产业链一体化优势，在动力电池和储能两大赛道持续扩大市场份额。我们认为公司已形成三大核心竞争力：一是技术领先（神行、麒麟、PU100 等新品持续迭代），二是规模效应（2025 年出货占全球 37.9%，国内装机市占率提升至 47.7%），三是现金储备（期末货币资金及交易性金融资产合计超 4100 亿元）。首次覆盖给予「买入」评级。</w:t>
      </w:r>
    </w:p>
    <w:p>
      <w:pPr>
        <w:pStyle w:val="Heading2"/>
      </w:pPr>
      <w:r>
        <w:t xml:space="preserve">1.1 关键财务与市场指标速览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000"/>
        <w:gridCol w:w="2000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2025年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2024年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同比变化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营业总收入（亿元）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4,237.02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3,620.13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+17.04%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归母净利润（亿元）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722.01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507.45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+42.28%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每股收益（元）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16.14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11.58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+39.38%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动力电池系统收入（亿元）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3,165.06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占比74.70%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储能电池系统收入（亿元）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624.40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占比14.74%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境外收入占比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30.60%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—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全球化加速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1.2 最新市场表现（截至 2026/04/21）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A股（300750.SZ）：收盘价 447.60 元，当日涨跌幅 +3.49%，年初至今 +21.88%，市盈率（TTM）25.87 倍，市净率 5.72 倍，总市值 20,428.82 亿元。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H股（03750.HK）：收盘价 736.00 港元，当日涨跌幅 +4.77%，年初至今 +47.90%，市盈率（TTM）37.56 倍。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AH溢价：43.09%，H股较 A 股显著溢价，体现海外机构对公司全球化前景的高预期。</w:t>
      </w:r>
    </w:p>
    <w:p>
      <w:r>
        <w:br w:type="page"/>
      </w:r>
    </w:p>
    <w:p>
      <w:pPr>
        <w:pStyle w:val="Heading1"/>
      </w:pPr>
      <w:r>
        <w:t xml:space="preserve">二、基本面分析</w:t>
      </w:r>
    </w:p>
    <w:p>
      <w:pPr>
        <w:pStyle w:val="Heading2"/>
      </w:pPr>
      <w:r>
        <w:t xml:space="preserve">2.1 业绩爆发的三大驱动力</w:t>
      </w:r>
    </w:p>
    <w:p>
      <w:pPr>
        <w:spacing w:after="100" w:line="330"/>
      </w:pPr>
      <w:r>
        <w:t xml:space="preserve">第一，动力电池市占率持续提升。据中国动力电池产业创新联盟数据，2026Q1 公司国内动力电池装机市占率达 47.7%，同比提升 3.4 个百分点；SNE Research 披露公司全球动力电池装机量市占率稳居第一，2025 年达到 37.9%。</w:t>
      </w:r>
    </w:p>
    <w:p>
      <w:pPr>
        <w:spacing w:after="100" w:line="330"/>
      </w:pPr>
      <w:r>
        <w:t xml:space="preserve">第二，储能业务爆发。2025 年储能电池系统收入 624.40 亿元，占比 14.74%；2026Q1 储能出货占比进一步提升至 25%（2025 年约 18%），储能已成为公司第二增长极，主要受益于海外算力基础设施和数据中心建设带来的需求增量。</w:t>
      </w:r>
    </w:p>
    <w:p>
      <w:pPr>
        <w:spacing w:after="100" w:line="330"/>
      </w:pPr>
      <w:r>
        <w:t xml:space="preserve">第三，海外产能释放。公司德国工厂已投产并实现盈利，匈牙利工厂一期投产在即，海外产能布局领先同行，有效对冲贸易摩擦风险。2025 年境外收入 1,296.41 亿元，占比达 30.60%，全球化战略成效显著。</w:t>
      </w:r>
    </w:p>
    <w:p>
      <w:pPr>
        <w:pStyle w:val="Heading2"/>
      </w:pPr>
      <w:r>
        <w:t xml:space="preserve">2.2 盈利质量与现金流</w:t>
      </w:r>
    </w:p>
    <w:p>
      <w:pPr>
        <w:spacing w:after="100" w:line="330"/>
      </w:pPr>
      <w:r>
        <w:t xml:space="preserve">2026Q1 单季度营业收入 1,291.3 亿元（同比+52.4%），归母净利润 207.4 亿元（同比+48.5%）。毛利率在碳酸锂均价回升至 18 万元/吨的背景下仍保持 24.8% 水平，展现出上游资源布局和议价能力带来的成本韧性。经营性现金流净额 336.8 亿元，期末货币资金及交易性金融资产合计超 4100 亿元，资金充裕，足以支撑高强度研发和全球扩产。</w:t>
      </w:r>
    </w:p>
    <w:p>
      <w:pPr>
        <w:spacing w:after="100" w:line="330"/>
      </w:pPr>
      <w:r>
        <w:t xml:space="preserve">公司发布 2025 年度分红方案：每 10 股派发现金 69.57 元（含税），分红总额约 304.45 亿元，充分体现对股东回报的重视。</w:t>
      </w:r>
    </w:p>
    <w:p>
      <w:r>
        <w:br w:type="page"/>
      </w:r>
    </w:p>
    <w:p>
      <w:pPr>
        <w:pStyle w:val="Heading1"/>
      </w:pPr>
      <w:r>
        <w:t xml:space="preserve">三、业务结构深度拆解</w:t>
      </w:r>
    </w:p>
    <w:p>
      <w:pPr>
        <w:pStyle w:val="Heading2"/>
      </w:pPr>
      <w:r>
        <w:t xml:space="preserve">3.1 主营业务构成（2025 年报）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700"/>
        <w:gridCol w:w="1400"/>
        <w:gridCol w:w="2900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业务板块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收入（亿元）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占比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同业地位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动力电池系统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3,165.06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74.70%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全球市占率 37.9%，排名第一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储能电池系统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624.40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14.74%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全球储能电芯出货第一，占比持续提升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电池材料及回收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218.61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5.16%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邦普循环，一体化布局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其他业务</w:t>
            </w:r>
          </w:p>
        </w:tc>
        <w:tc>
          <w:tcPr>
            <w:tcW w:type="dxa" w:w="17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228.95</w:t>
            </w:r>
          </w:p>
        </w:tc>
        <w:tc>
          <w:tcPr>
            <w:tcW w:type="dxa" w:w="1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5.40%</w:t>
            </w:r>
          </w:p>
        </w:tc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矿产资源、电池服务等</w:t>
            </w:r>
          </w:p>
        </w:tc>
      </w:tr>
    </w:tbl>
    <w:p>
      <w:r>
        <w:t xml:space="preserve"> </w:t>
      </w:r>
    </w:p>
    <w:p>
      <w:pPr>
        <w:pStyle w:val="Heading2"/>
      </w:pPr>
      <w:r>
        <w:t xml:space="preserve">3.2 技术护城河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神行超充电池、麒麟电池已落地小米 SU7、理想 MEGA 等多款明星车型，4C/5C 超充技术处于行业领先。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PU100 储能系统发布，面向海外大型储能项目，PCS 效率与循环寿命行业领先。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研发费用率维持约 5% 水平，2026Q1 研发投入 48.14 亿元，研发团队规模及投入强度在行业内均居首。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产业链一体化：上游布局锂、镍、磷等关键资源，新设全资子公司「时代资源集团」（注册资本 300 亿元），进一步强化产业链安全。</w:t>
      </w:r>
    </w:p>
    <w:p>
      <w:r>
        <w:br w:type="page"/>
      </w:r>
    </w:p>
    <w:p>
      <w:pPr>
        <w:pStyle w:val="Heading1"/>
      </w:pPr>
      <w:r>
        <w:t xml:space="preserve">四、同业对比：龙头溢价显著</w:t>
      </w:r>
    </w:p>
    <w:p>
      <w:pPr>
        <w:spacing w:after="100" w:line="330"/>
      </w:pPr>
      <w:r>
        <w:t xml:space="preserve">选取 A 股电池板块可比公司比亚迪（002594，一体化电池 + 整车）、亿纬锂能（300014，动力 + 储能 + 消费）进行横向对比。数据基于 2025 年报及最新行情：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2000"/>
        <w:gridCol w:w="2000"/>
      </w:tblGrid>
      <w:tr>
        <w:trPr>
          <w:tblHeader/>
        </w:trP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指标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宁德时代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比亚迪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亿纬锂能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总市值（亿元）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20,428.82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9,256.69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1,549.25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2025营收（亿元）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4,237.02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——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614.70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2025归母净利润（亿元）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722.01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——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41.34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市盈率 TTM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25.87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28.38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37.47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市净率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5.72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4.07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3.68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AH溢价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43.09%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-6.49%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——</w:t>
            </w:r>
          </w:p>
        </w:tc>
      </w:tr>
      <w:tr>
        <w:tc>
          <w:tcPr>
            <w:tcW w:type="dxa" w:w="24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全球动力电池市占率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37.9%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第二梯队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7FB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第二梯队</w:t>
            </w:r>
          </w:p>
        </w:tc>
      </w:tr>
    </w:tbl>
    <w:p>
      <w:r>
        <w:t xml:space="preserve"> </w:t>
      </w:r>
    </w:p>
    <w:p>
      <w:pPr>
        <w:spacing w:after="100" w:line="330"/>
      </w:pPr>
      <w:r>
        <w:t xml:space="preserve">从估值看，宁德时代 A 股市盈率（TTM）25.87 倍，低于比亚迪（28.38 倍）和亿纬锂能（37.47 倍），但公司规模效应、全球市占率、盈利质量均显著领先，龙头溢价尚未被充分定价。尤其是港股市盈率 37.56 倍反映了海外机构对公司全球化前景的更高预期。</w:t>
      </w:r>
    </w:p>
    <w:p>
      <w:pPr>
        <w:spacing w:after="100" w:line="330"/>
      </w:pPr>
      <w:r>
        <w:t xml:space="preserve">盈利能力方面，亿纬锂能 2025 年营收 614.70 亿元（同比+26.5%），归母 41.34 亿元（+1.4%），增速低于宁德时代；比亚迪近期因价格战和规模效应未充分释放，3Q25 毛利率同比下降 1.4 个百分点。宁德时代则在碳酸锂价格波动背景下保持毛利率韧性，体现强议价能力。</w:t>
      </w:r>
    </w:p>
    <w:p>
      <w:r>
        <w:br w:type="page"/>
      </w:r>
    </w:p>
    <w:p>
      <w:pPr>
        <w:pStyle w:val="Heading1"/>
      </w:pPr>
      <w:r>
        <w:t xml:space="preserve">五、估值与投资建议</w:t>
      </w:r>
    </w:p>
    <w:p>
      <w:pPr>
        <w:pStyle w:val="Heading2"/>
      </w:pPr>
      <w:r>
        <w:t xml:space="preserve">5.1 盈利预测</w:t>
      </w:r>
    </w:p>
    <w:p>
      <w:pPr>
        <w:spacing w:after="100" w:line="330"/>
      </w:pPr>
      <w:r>
        <w:t xml:space="preserve">基于动力电池市占率持续提升、储能业务爆发式增长、海外产能逐步释放的假设，我们预计公司 2026-2028 年营业收入分别为 5,100/6,200/7,400 亿元，归母净利润分别为 977/1,220/1,473 亿元，对应 EPS 21.8/27.3/32.9 元。</w:t>
      </w:r>
    </w:p>
    <w:p>
      <w:pPr>
        <w:spacing w:after="100" w:line="330"/>
      </w:pPr>
      <w:r>
        <w:t xml:space="preserve">以 2026/04/21 收盘价 447.60 元计算，2026-2028 年 PE 分别为 20.5x/16.4x/13.6x，估值处于历史中枢下方。</w:t>
      </w:r>
    </w:p>
    <w:p>
      <w:pPr>
        <w:pStyle w:val="Heading2"/>
      </w:pPr>
      <w:r>
        <w:t xml:space="preserve">5.2 估值结论与目标价</w:t>
      </w:r>
    </w:p>
    <w:p>
      <w:pPr>
        <w:spacing w:after="100" w:line="330"/>
      </w:pPr>
      <w:r>
        <w:t xml:space="preserve">参考国内外头部机构给予公司的目标价区间（开源证券、交银国际等）以及公司储能业务加速提升的成长性，我们给予公司 2026 年 25 倍 PE 估值，对应目标价 545 元，较现价有 21.8% 上行空间。首次覆盖给予「买入」评级。</w:t>
      </w:r>
    </w:p>
    <w:p>
      <w:pPr>
        <w:pStyle w:val="Heading2"/>
      </w:pPr>
      <w:r>
        <w:t xml:space="preserve">5.3 主要风险提示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新能源汽车销量增速不及预期，动力电池下游需求疲软。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储能市场商业模式落地不及预期，海外电价和补贴政策变动。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上游碳酸锂、镍等原材料价格大幅波动，挤压毛利率。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海外贸易摩擦、地缘政治导致海外产能落地或运营受阻。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行业价格战加剧，市场竞争格局恶化。</w:t>
      </w:r>
    </w:p>
    <w:p>
      <w:r>
        <w:br w:type="page"/>
      </w:r>
    </w:p>
    <w:p>
      <w:pPr>
        <w:pStyle w:val="Heading1"/>
      </w:pPr>
      <w:r>
        <w:t xml:space="preserve">六、附录：数据来源与生成说明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公司基本面数据：宁德时代 2025 年年度报告（上传的 PDF）。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实时行情与财务指标：WorkBuddy 集成的金融数据服务（截至 2026/04/21 收盘）。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同业对比数据：比亚迪（002594.SZ）、亿纬锂能（300014.SZ）2025 年年报及最新行情。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机构研报观点：开源证券、交银国际、海通国际、民生证券、华兴证券等公开研报。</w:t>
      </w:r>
    </w:p>
    <w:p>
      <w:pPr>
        <w:pStyle w:val="ListParagraph"/>
        <w:numPr>
          <w:ilvl w:val="0"/>
          <w:numId w:val="2"/>
        </w:numPr>
        <w:spacing w:after="80" w:line="320"/>
      </w:pPr>
      <w:r>
        <w:t xml:space="preserve">本报告由 WorkBuddy 智能投研助手在约 5 分钟内自动生成。人工分析师可在此基础上补充调研观点、投资逻辑与评级判断。</w:t>
      </w:r>
    </w:p>
    <w:sectPr>
      <w:headerReference w:type="default" r:id="rId7"/>
      <w:footerReference w:type="default" r:id="rId8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8"/>
        <w:szCs w:val="18"/>
      </w:rPr>
      <w:t xml:space="preserve">第 </w:t>
    </w:r>
    <w:r>
      <w:rPr>
        <w:color w:val="8080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808080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08080"/>
        <w:sz w:val="18"/>
        <w:szCs w:val="18"/>
      </w:rPr>
      <w:t xml:space="preserve">宁德时代（300750.SZ）深度研究报告 | WorkBuddy 自动生成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8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8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思源黑体 CN" w:cs="思源黑体 CN" w:eastAsia="思源黑体 CN" w:hAnsi="思源黑体 C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00"/>
      <w:outlineLvl w:val="0"/>
    </w:pPr>
    <w:rPr>
      <w:rFonts w:ascii="思源黑体 CN" w:cs="思源黑体 CN" w:eastAsia="思源黑体 CN" w:hAnsi="思源黑体 CN"/>
      <w:b/>
      <w:bCs/>
      <w:color w:val="1F4E7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40"/>
      <w:outlineLvl w:val="1"/>
    </w:pPr>
    <w:rPr>
      <w:rFonts w:ascii="思源黑体 CN" w:cs="思源黑体 CN" w:eastAsia="思源黑体 CN" w:hAnsi="思源黑体 CN"/>
      <w:b/>
      <w:bCs/>
      <w:color w:val="2E75B6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80"/>
      <w:outlineLvl w:val="2"/>
    </w:pPr>
    <w:rPr>
      <w:rFonts w:ascii="思源黑体 CN" w:cs="思源黑体 CN" w:eastAsia="思源黑体 CN" w:hAnsi="思源黑体 CN"/>
      <w:b/>
      <w:bCs/>
      <w:color w:val="404040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2026-04-21T13:16:46.579Z</dcterms:created>
  <dcterms:modified xsi:type="dcterms:W3CDTF">2026-04-21T13:16:46.579Z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