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2E75B6"/>
          <w:sz w:val="28"/>
          <w:szCs w:val="28"/>
        </w:rPr>
        <w:t xml:space="preserve">【交付物四】</w:t>
      </w:r>
    </w:p>
    <w:p>
      <w:pPr>
        <w:spacing w:after="400"/>
        <w:jc w:val="center"/>
      </w:pPr>
      <w:r>
        <w:rPr>
          <w:b/>
          <w:bCs/>
          <w:color w:val="1F4E79"/>
          <w:sz w:val="40"/>
          <w:szCs w:val="40"/>
        </w:rPr>
        <w:t xml:space="preserve">业务条线告知函</w:t>
      </w:r>
    </w:p>
    <w:p>
      <w:pPr>
        <w:spacing w:after="100" w:line="340"/>
        <w:jc w:val="both"/>
      </w:pPr>
      <w:r>
        <w:t xml:space="preserve">【发文编号】XXZQ-HG-2026-015</w:t>
      </w:r>
    </w:p>
    <w:p>
      <w:pPr>
        <w:spacing w:after="100" w:line="340"/>
        <w:jc w:val="both"/>
      </w:pPr>
      <w:r>
        <w:t xml:space="preserve">【发文单位】××证券股份有限公司 合规部</w:t>
      </w:r>
    </w:p>
    <w:p>
      <w:pPr>
        <w:spacing w:after="100" w:line="340"/>
        <w:jc w:val="both"/>
      </w:pPr>
      <w:r>
        <w:t xml:space="preserve">【收文单位】经纪业务部、投资银行部、资产管理子公司、自营投资部、固收部、研究所、各分支机构</w:t>
      </w:r>
    </w:p>
    <w:p>
      <w:pPr>
        <w:spacing w:after="100" w:line="340"/>
        <w:jc w:val="both"/>
      </w:pPr>
      <w:r>
        <w:t xml:space="preserve">【抄送】总经理办公会、董事会办公室、人力资源部、风险管理部、稽核审计部</w:t>
      </w:r>
    </w:p>
    <w:p>
      <w:pPr>
        <w:spacing w:after="100" w:line="340"/>
        <w:jc w:val="both"/>
      </w:pPr>
      <w:r>
        <w:t xml:space="preserve">【文件密级】内部公开</w:t>
      </w:r>
    </w:p>
    <w:p>
      <w:pPr>
        <w:spacing w:after="100" w:line="340"/>
        <w:jc w:val="both"/>
      </w:pPr>
      <w:r>
        <w:t xml:space="preserve">【签发日期】2026 年 4 月 21 日</w:t>
      </w:r>
    </w:p>
    <w:p>
      <w:r>
        <w:t xml:space="preserve"> </w:t>
      </w:r>
    </w:p>
    <w:p>
      <w:pPr>
        <w:pStyle w:val="Heading1"/>
      </w:pPr>
      <w:r>
        <w:t xml:space="preserve">关于落实《证券公司和证券投资基金管理公司合规管理办法》（166号令）的通知</w:t>
      </w:r>
    </w:p>
    <w:p>
      <w:r>
        <w:t xml:space="preserve"> </w:t>
      </w:r>
    </w:p>
    <w:p>
      <w:pPr>
        <w:spacing w:after="100" w:line="340"/>
        <w:jc w:val="both"/>
      </w:pPr>
      <w:r>
        <w:t xml:space="preserve">各部门、各分支机构负责人、各条线合规员：</w:t>
      </w:r>
    </w:p>
    <w:p>
      <w:pPr>
        <w:spacing w:after="100" w:line="340"/>
        <w:jc w:val="both"/>
      </w:pPr>
      <w:r>
        <w:t xml:space="preserve">为贯彻落实中国证监会《证券公司和证券投资基金管理公司合规管理办法》（证监会令第166号）相关要求，结合公司合规部对现行制度的差异比对结果，现就近期各业务条线需重点落实的合规事项通知如下，请严格执行。</w:t>
      </w:r>
    </w:p>
    <w:p>
      <w:pPr>
        <w:pStyle w:val="Heading2"/>
      </w:pPr>
      <w:r>
        <w:t xml:space="preserve">一、经纪业务部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按照166号令第6条要求，全面核查客户适当性管理流程：确保客户基本信息、财务状况、投资经验、投资目标、风险偏好、诚信记录采集完整并及时更新；确保产品/服务风险等级与客户风险承受能力匹配。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健全异常交易监控：对客户的重大异常交易行为，应在 24 小时内上报合规部并启动处置程序。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2026 年 5 月 31 日前完成自查报告，报送合规部。</w:t>
      </w:r>
    </w:p>
    <w:p>
      <w:pPr>
        <w:pStyle w:val="Heading2"/>
      </w:pPr>
      <w:r>
        <w:t xml:space="preserve">二、投资银行部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按照166号令第6条第7项要求，严格关联交易审议程序和信息披露义务，防止不正当关联交易和利益输送。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新项目承揽、尽调、申报各阶段须向合规部提交节点报告，未经合规审查不得提交交易所/证监会。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建立投行底稿合规审查清单，每周向合规部报送进度。</w:t>
      </w:r>
    </w:p>
    <w:p>
      <w:pPr>
        <w:pStyle w:val="Heading2"/>
      </w:pPr>
      <w:r>
        <w:t xml:space="preserve">三、资产管理子公司 &amp; 自营投资部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按照166号令第6条第5项要求，强化内幕信息和未公开信息管理：涉及敏感信息人员名单应动态更新并报合规部备案。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建立投资决策前合规审查机制：新产品、新策略、重要投资决策须经合规部出具书面意见。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健全利益冲突管理制度，严禁工作人员利用职务便利从事损害客户权益的行为。</w:t>
      </w:r>
    </w:p>
    <w:p>
      <w:pPr>
        <w:pStyle w:val="Heading2"/>
      </w:pPr>
      <w:r>
        <w:t xml:space="preserve">四、研究所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按照166号令第6条要求，规范研究报告发布流程，防范利益冲突和选择性披露。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分析师外部活动、对外发言须经合规部审批备案；重要外发研报须留痕。</w:t>
      </w:r>
    </w:p>
    <w:p>
      <w:pPr>
        <w:pStyle w:val="Heading2"/>
      </w:pPr>
      <w:r>
        <w:t xml:space="preserve">五、各分支机构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按照166号令第23条要求，配备符合专业资质的合规管理人员；合规风险管控难度较大的分支机构应配备专职合规员。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2026 年 6 月 15 日前向合规部报送分支机构合规员资质盘点表。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强化分支机构员工执业行为管理，严禁违规揽客、荐股、代客理财等行为。</w:t>
      </w:r>
    </w:p>
    <w:p>
      <w:pPr>
        <w:pStyle w:val="Heading2"/>
      </w:pPr>
      <w:r>
        <w:t xml:space="preserve">六、人力资源部（抄送）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配合合规部启动合规负责人任职条件的重新核查；合规人员专业比例的补员计划于 60 日内报董事会审议。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修订《绩效考核办法》《薪酬管理办法》，与合规部会签。</w:t>
      </w:r>
    </w:p>
    <w:p>
      <w:pPr>
        <w:pStyle w:val="Heading2"/>
      </w:pPr>
      <w:r>
        <w:t xml:space="preserve">七、通用要求（全体部门）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发现任何违法违规行为或合规风险隐患，应在 24 小时内向合规部报告，不得瞒报、漏报、迟报。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积极参加公司组织的年度合规专项培训，通过线上考试，学习记录纳入年度考核。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各部门负责人应对本部门合规运营承担首要责任，严格落实「合规从管理层做起」理念。</w:t>
      </w:r>
    </w:p>
    <w:p>
      <w:r>
        <w:t xml:space="preserve"> </w:t>
      </w:r>
    </w:p>
    <w:p>
      <w:pPr>
        <w:pStyle w:val="Heading1"/>
      </w:pPr>
      <w:r>
        <w:t xml:space="preserve">附件与咨询</w:t>
      </w:r>
    </w:p>
    <w:p>
      <w:pPr>
        <w:pStyle w:val="ListParagraph"/>
        <w:numPr>
          <w:ilvl w:val="0"/>
          <w:numId w:val="3"/>
        </w:numPr>
        <w:spacing w:after="80" w:line="320"/>
      </w:pPr>
      <w:r>
        <w:t xml:space="preserve">附件一：《证券公司和证券投资基金管理公司合规管理办法》监管原文</w:t>
      </w:r>
    </w:p>
    <w:p>
      <w:pPr>
        <w:pStyle w:val="ListParagraph"/>
        <w:numPr>
          <w:ilvl w:val="0"/>
          <w:numId w:val="3"/>
        </w:numPr>
        <w:spacing w:after="80" w:line="320"/>
      </w:pPr>
      <w:r>
        <w:t xml:space="preserve">附件二：监管条款影响分析表</w:t>
      </w:r>
    </w:p>
    <w:p>
      <w:pPr>
        <w:pStyle w:val="ListParagraph"/>
        <w:numPr>
          <w:ilvl w:val="0"/>
          <w:numId w:val="3"/>
        </w:numPr>
        <w:spacing w:after="80" w:line="320"/>
      </w:pPr>
      <w:r>
        <w:t xml:space="preserve">附件三：内部制度差异清单</w:t>
      </w:r>
    </w:p>
    <w:p>
      <w:pPr>
        <w:pStyle w:val="ListParagraph"/>
        <w:numPr>
          <w:ilvl w:val="0"/>
          <w:numId w:val="3"/>
        </w:numPr>
        <w:spacing w:after="80" w:line="320"/>
      </w:pPr>
      <w:r>
        <w:t xml:space="preserve">合规咨询热线：XX-XXXX-XXXX  邮箱：compliance@xxzq.com</w:t>
      </w:r>
    </w:p>
    <w:p>
      <w:r>
        <w:t xml:space="preserve"> </w:t>
      </w:r>
    </w:p>
    <w:p>
      <w:r>
        <w:t xml:space="preserve"> </w:t>
      </w:r>
    </w:p>
    <w:p>
      <w:pPr>
        <w:jc w:val="right"/>
      </w:pPr>
      <w:r>
        <w:rPr>
          <w:b/>
          <w:bCs/>
          <w:sz w:val="22"/>
          <w:szCs w:val="22"/>
        </w:rPr>
        <w:t xml:space="preserve">××证券股份有限公司</w:t>
      </w:r>
    </w:p>
    <w:p>
      <w:pPr>
        <w:jc w:val="right"/>
      </w:pPr>
      <w:r>
        <w:rPr>
          <w:b/>
          <w:bCs/>
          <w:sz w:val="22"/>
          <w:szCs w:val="22"/>
        </w:rPr>
        <w:t xml:space="preserve">合规部</w:t>
      </w:r>
    </w:p>
    <w:p>
      <w:pPr>
        <w:jc w:val="right"/>
      </w:pPr>
      <w:r>
        <w:rPr>
          <w:sz w:val="22"/>
          <w:szCs w:val="22"/>
        </w:rPr>
        <w:t xml:space="preserve">2026 年 4 月 21 日</w:t>
      </w:r>
    </w:p>
    <w:p>
      <w:r>
        <w:t xml:space="preserve"> </w:t>
      </w:r>
    </w:p>
    <w:p>
      <w:pPr>
        <w:jc w:val="right"/>
      </w:pPr>
      <w:r>
        <w:rPr>
          <w:i/>
          <w:iCs/>
          <w:color w:val="808080"/>
          <w:sz w:val="18"/>
          <w:szCs w:val="18"/>
        </w:rPr>
        <w:t xml:space="preserve">（由 WorkBuddy 辅助起草 · 待合规总监签发）</w:t>
      </w:r>
    </w:p>
    <w:sectPr>
      <w:headerReference w:type="default" r:id="rId7"/>
      <w:footerReference w:type="default" r:id="rId8"/>
      <w:pgSz w:w="11906" w:h="16838" w:orient="portrait"/>
      <w:pgMar w:top="1200" w:right="1200" w:bottom="12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8"/>
        <w:szCs w:val="18"/>
      </w:rPr>
      <w:t xml:space="preserve">第 </w:t>
    </w:r>
    <w:r>
      <w:rPr>
        <w:color w:val="80808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808080"/>
        <w:sz w:val="18"/>
        <w:szCs w:val="18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08080"/>
        <w:sz w:val="18"/>
        <w:szCs w:val="18"/>
      </w:rPr>
      <w:t xml:space="preserve">业务条线告知函 | XXZQ-HG-2026-015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28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思源黑体 CN" w:cs="思源黑体 CN" w:eastAsia="思源黑体 CN" w:hAnsi="思源黑体 C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300"/>
      <w:outlineLvl w:val="0"/>
    </w:pPr>
    <w:rPr>
      <w:rFonts w:ascii="思源黑体 CN" w:cs="思源黑体 CN" w:eastAsia="思源黑体 CN" w:hAnsi="思源黑体 CN"/>
      <w:b/>
      <w:bCs/>
      <w:color w:val="1F4E7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40"/>
      <w:outlineLvl w:val="1"/>
    </w:pPr>
    <w:rPr>
      <w:rFonts w:ascii="思源黑体 CN" w:cs="思源黑体 CN" w:eastAsia="思源黑体 CN" w:hAnsi="思源黑体 CN"/>
      <w:b/>
      <w:bCs/>
      <w:color w:val="2E75B6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80"/>
      <w:outlineLvl w:val="2"/>
    </w:pPr>
    <w:rPr>
      <w:rFonts w:ascii="思源黑体 CN" w:cs="思源黑体 CN" w:eastAsia="思源黑体 CN" w:hAnsi="思源黑体 CN"/>
      <w:b/>
      <w:bCs/>
      <w:color w:val="40404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2026-04-21T13:56:25.814Z</dcterms:created>
  <dcterms:modified xsi:type="dcterms:W3CDTF">2026-04-21T13:56:25.814Z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