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2E75B6"/>
          <w:sz w:val="28"/>
          <w:szCs w:val="28"/>
        </w:rPr>
        <w:t xml:space="preserve">【交付物三】</w:t>
      </w:r>
    </w:p>
    <w:p>
      <w:pPr>
        <w:spacing w:after="300"/>
        <w:jc w:val="center"/>
      </w:pPr>
      <w:r>
        <w:rPr>
          <w:b/>
          <w:bCs/>
          <w:color w:val="1F4E79"/>
          <w:sz w:val="40"/>
          <w:szCs w:val="40"/>
        </w:rPr>
        <w:t xml:space="preserve">《合规管理办法》修订建议书</w:t>
      </w:r>
    </w:p>
    <w:p>
      <w:pPr>
        <w:spacing w:after="400"/>
        <w:jc w:val="center"/>
      </w:pPr>
      <w:r>
        <w:rPr>
          <w:i/>
          <w:iCs/>
          <w:color w:val="808080"/>
          <w:sz w:val="20"/>
          <w:szCs w:val="20"/>
        </w:rPr>
        <w:t xml:space="preserve">拟提交：公司董事会 · 起草：合规部 · 2026 年 4 月</w:t>
      </w:r>
    </w:p>
    <w:p>
      <w:pPr>
        <w:pStyle w:val="Heading1"/>
      </w:pPr>
      <w:r>
        <w:t xml:space="preserve">一、修订背景</w:t>
      </w:r>
    </w:p>
    <w:p>
      <w:pPr>
        <w:spacing w:after="100" w:line="340"/>
        <w:jc w:val="both"/>
      </w:pPr>
      <w:r>
        <w:t xml:space="preserve">根据中国证监会《证券公司和证券投资基金管理公司合规管理办法》（证监会令第166号）相关要求，结合近年来监管检查反馈意见，现行公司《合规管理办法》（V2.1，2019 年 8 月修订）已不能完全匹配上位法要求。为确保公司合规管理工作符合监管规范，防范合规风险，合规部经逐条比对，提出本次修订建议。</w:t>
      </w:r>
    </w:p>
    <w:p>
      <w:pPr>
        <w:pStyle w:val="Heading1"/>
      </w:pPr>
      <w:r>
        <w:t xml:space="preserve">二、修订总体思路</w:t>
      </w:r>
    </w:p>
    <w:p>
      <w:pPr>
        <w:pStyle w:val="ListParagraph"/>
        <w:numPr>
          <w:ilvl w:val="0"/>
          <w:numId w:val="2"/>
        </w:numPr>
        <w:spacing w:after="80" w:line="320"/>
      </w:pPr>
      <w:r>
        <w:t xml:space="preserve">以166号令为最高对标依据，消除所有实质性差距。</w:t>
      </w:r>
    </w:p>
    <w:p>
      <w:pPr>
        <w:pStyle w:val="ListParagraph"/>
        <w:numPr>
          <w:ilvl w:val="0"/>
          <w:numId w:val="2"/>
        </w:numPr>
        <w:spacing w:after="80" w:line="320"/>
      </w:pPr>
      <w:r>
        <w:t xml:space="preserve">围绕「合规负责人地位保障、合规人员专业性、合规评估有效性、合规追责闭环」四条主线系统修订。</w:t>
      </w:r>
    </w:p>
    <w:p>
      <w:pPr>
        <w:pStyle w:val="ListParagraph"/>
        <w:numPr>
          <w:ilvl w:val="0"/>
          <w:numId w:val="2"/>
        </w:numPr>
        <w:spacing w:after="80" w:line="320"/>
      </w:pPr>
      <w:r>
        <w:t xml:space="preserve">采用分阶段推进策略：高风险条款 30 日完成、中风险 60 日完成、低风险纳入年度修订。</w:t>
      </w:r>
    </w:p>
    <w:p>
      <w:pPr>
        <w:pStyle w:val="ListParagraph"/>
        <w:numPr>
          <w:ilvl w:val="0"/>
          <w:numId w:val="2"/>
        </w:numPr>
        <w:spacing w:after="80" w:line="320"/>
      </w:pPr>
      <w:r>
        <w:t xml:space="preserve">修订内容须经合规部审查、总经理办公会审议、董事会批准后实施。</w:t>
      </w:r>
    </w:p>
    <w:p>
      <w:pPr>
        <w:pStyle w:val="Heading1"/>
      </w:pPr>
      <w:r>
        <w:t xml:space="preserve">三、重点修订条款（共9处）</w:t>
      </w:r>
    </w:p>
    <w:p>
      <w:pPr>
        <w:pStyle w:val="Heading2"/>
      </w:pPr>
      <w:r>
        <w:t xml:space="preserve">3.1 第八条【合规负责人任职条件】—— 高风险修订</w:t>
      </w:r>
    </w:p>
    <w:p>
      <w:pPr>
        <w:spacing w:after="100" w:line="340"/>
        <w:jc w:val="both"/>
      </w:pPr>
      <w:r>
        <w:t xml:space="preserve">【现行】「从事证券、金融工作5年以上；熟悉证券业务。」</w:t>
      </w:r>
    </w:p>
    <w:p>
      <w:pPr>
        <w:spacing w:after="100" w:line="340"/>
        <w:jc w:val="both"/>
      </w:pPr>
      <w:r>
        <w:t xml:space="preserve">【建议修订为】「合规负责人应当具备下列条件之一：（一）从事证券、基金工作10年以上，并通过中国证券业协会或中国证券投资基金业协会组织的合规管理人员胜任能力考试；（二）从事证券、基金工作5年以上，并通过国家统一法律职业资格考试；（三）在证券监管机构、证券基金业自律组织任职5年以上。」</w:t>
      </w:r>
    </w:p>
    <w:p>
      <w:pPr>
        <w:spacing w:after="100" w:line="340"/>
        <w:jc w:val="both"/>
      </w:pPr>
      <w:r>
        <w:t xml:space="preserve">【依据】166号令第18条。</w:t>
      </w:r>
    </w:p>
    <w:p>
      <w:pPr>
        <w:pStyle w:val="Heading2"/>
      </w:pPr>
      <w:r>
        <w:t xml:space="preserve">3.2 第十条【合规人员考核】—— 高风险修订</w:t>
      </w:r>
    </w:p>
    <w:p>
      <w:pPr>
        <w:spacing w:after="100" w:line="340"/>
        <w:jc w:val="both"/>
      </w:pPr>
      <w:r>
        <w:t xml:space="preserve">【现行】「合规总监考核意见所占权重不低于 30%。」</w:t>
      </w:r>
    </w:p>
    <w:p>
      <w:pPr>
        <w:spacing w:after="100" w:line="340"/>
        <w:jc w:val="both"/>
      </w:pPr>
      <w:r>
        <w:t xml:space="preserve">【建议修订为】「对专职合规管理人员的考核由合规负责人组织；对兼职合规管理人员进行考核时，合规负责人所占权重应当超过 50%。合规性专项考核占高管和各部门总考核结果的比例不得低于行业自律组织的规定。」</w:t>
      </w:r>
    </w:p>
    <w:p>
      <w:pPr>
        <w:spacing w:after="100" w:line="340"/>
        <w:jc w:val="both"/>
      </w:pPr>
      <w:r>
        <w:t xml:space="preserve">【依据】166号令第27条。</w:t>
      </w:r>
    </w:p>
    <w:p>
      <w:pPr>
        <w:pStyle w:val="Heading2"/>
      </w:pPr>
      <w:r>
        <w:t xml:space="preserve">3.3 第十一条【薪酬管理】—— 高风险修订（新增中位数条款）</w:t>
      </w:r>
    </w:p>
    <w:p>
      <w:pPr>
        <w:spacing w:after="100" w:line="340"/>
        <w:jc w:val="both"/>
      </w:pPr>
      <w:r>
        <w:t xml:space="preserve">【建议新增】「合规负责人工作称职的，其年度薪酬总额在公司高级管理人员年度薪酬总额中的排名不得低于中位数；合规管理人员工作称职的，其年度薪酬总额不得低于公司同级别人员的平均水平。」</w:t>
      </w:r>
    </w:p>
    <w:p>
      <w:pPr>
        <w:spacing w:after="100" w:line="340"/>
        <w:jc w:val="both"/>
      </w:pPr>
      <w:r>
        <w:t xml:space="preserve">【依据】166号令第28条。</w:t>
      </w:r>
    </w:p>
    <w:p>
      <w:pPr>
        <w:pStyle w:val="Heading2"/>
      </w:pPr>
      <w:r>
        <w:t xml:space="preserve">3.4 第十七条【有效性评估】—— 高风险修订</w:t>
      </w:r>
    </w:p>
    <w:p>
      <w:pPr>
        <w:spacing w:after="100" w:line="340"/>
        <w:jc w:val="both"/>
      </w:pPr>
      <w:r>
        <w:t xml:space="preserve">【现行】「每 2 年组织一次，可由公司内部组织实施。」</w:t>
      </w:r>
    </w:p>
    <w:p>
      <w:pPr>
        <w:spacing w:after="100" w:line="340"/>
        <w:jc w:val="both"/>
      </w:pPr>
      <w:r>
        <w:t xml:space="preserve">【建议修订为】「公司应当每年组织对合规管理有效性进行不少于1次的全面评估；委托具有专业资质的外部专业机构进行的全面评估，每 3 年至少进行 1 次。」</w:t>
      </w:r>
    </w:p>
    <w:p>
      <w:pPr>
        <w:spacing w:after="100" w:line="340"/>
        <w:jc w:val="both"/>
      </w:pPr>
      <w:r>
        <w:t xml:space="preserve">【依据】166号令第31条。</w:t>
      </w:r>
    </w:p>
    <w:p>
      <w:pPr>
        <w:pStyle w:val="Heading2"/>
      </w:pPr>
      <w:r>
        <w:t xml:space="preserve">3.5 第十六条【年度合规报告】—— 中风险修订</w:t>
      </w:r>
    </w:p>
    <w:p>
      <w:pPr>
        <w:spacing w:after="100" w:line="340"/>
        <w:jc w:val="both"/>
      </w:pPr>
      <w:r>
        <w:t xml:space="preserve">【现行】「公司年报披露后 30 个工作日内完成报送」「），内容未明确列举。</w:t>
      </w:r>
    </w:p>
    <w:p>
      <w:pPr>
        <w:spacing w:after="100" w:line="340"/>
        <w:jc w:val="both"/>
      </w:pPr>
      <w:r>
        <w:t xml:space="preserve">【建议修订为】「公司应当在报送年度报告的同时向中国证监会相关派出机构报送年度合规报告。年度合规报告应包括：（一）公司和各层级子公司合规管理基本情况；（二）合规负责人履行职责情况；（三）违法违规行为、合规风险隐患的发现及整改情况；（四）合规管理有效性的评估及整改情况；（五）其他应当报告的内容。」</w:t>
      </w:r>
    </w:p>
    <w:p>
      <w:pPr>
        <w:spacing w:after="100" w:line="340"/>
        <w:jc w:val="both"/>
      </w:pPr>
      <w:r>
        <w:t xml:space="preserve">【依据】166号令第30条。</w:t>
      </w:r>
    </w:p>
    <w:p>
      <w:pPr>
        <w:pStyle w:val="Heading2"/>
      </w:pPr>
      <w:r>
        <w:t xml:space="preserve">3.6 第五条【合规审查不可绕过机制】—— 中风险修订</w:t>
      </w:r>
    </w:p>
    <w:p>
      <w:pPr>
        <w:spacing w:after="100" w:line="340"/>
        <w:jc w:val="both"/>
      </w:pPr>
      <w:r>
        <w:t xml:space="preserve">【建议新增一款】「公司不采纳合规负责人的合规审查意见的，应当将有关事项提交董事会决定。」</w:t>
      </w:r>
    </w:p>
    <w:p>
      <w:pPr>
        <w:spacing w:after="100" w:line="340"/>
        <w:jc w:val="both"/>
      </w:pPr>
      <w:r>
        <w:t xml:space="preserve">【依据】166号令第13条。</w:t>
      </w:r>
    </w:p>
    <w:p>
      <w:pPr>
        <w:pStyle w:val="Heading2"/>
      </w:pPr>
      <w:r>
        <w:t xml:space="preserve">3.7 第九条【独立性保障】—— 中风险修订</w:t>
      </w:r>
    </w:p>
    <w:p>
      <w:pPr>
        <w:spacing w:after="100" w:line="340"/>
        <w:jc w:val="both"/>
      </w:pPr>
      <w:r>
        <w:t xml:space="preserve">【建议扩展为】「公司董事会会议、经营决策会议等重要会议以及合规负责人要求参加或列席的会议的，应当提前通知合规负责人。合规负责人有权根据履职需要参加或列席有关会议，查阅、复制有关文件、资料。合规负责人认为必要时，可以公司名义直接聘请外部专业机构或人员协助其工作，费用由公司承担。」</w:t>
      </w:r>
    </w:p>
    <w:p>
      <w:pPr>
        <w:spacing w:after="100" w:line="340"/>
        <w:jc w:val="both"/>
      </w:pPr>
      <w:r>
        <w:t xml:space="preserve">【依据】166号令第25、26条。</w:t>
      </w:r>
    </w:p>
    <w:p>
      <w:pPr>
        <w:pStyle w:val="Heading2"/>
      </w:pPr>
      <w:r>
        <w:t xml:space="preserve">3.8 第六条【合规部门职责冲突禁止】—— 中风险修订</w:t>
      </w:r>
    </w:p>
    <w:p>
      <w:pPr>
        <w:spacing w:after="100" w:line="340"/>
        <w:jc w:val="both"/>
      </w:pPr>
      <w:r>
        <w:t xml:space="preserve">【建议新增一款】「合规部门不得承担与合规管理相冲突的其他职责。合规部门与其他内部控制部门之间的职责分工应当明确，并建立内部控制部门协调互动的工作机制。」</w:t>
      </w:r>
    </w:p>
    <w:p>
      <w:pPr>
        <w:spacing w:after="100" w:line="340"/>
        <w:jc w:val="both"/>
      </w:pPr>
      <w:r>
        <w:t xml:space="preserve">【依据】166号令第21条。</w:t>
      </w:r>
    </w:p>
    <w:p>
      <w:pPr>
        <w:pStyle w:val="Heading2"/>
      </w:pPr>
      <w:r>
        <w:t xml:space="preserve">3.9 附则部分 —— 低风险完善</w:t>
      </w:r>
    </w:p>
    <w:p>
      <w:pPr>
        <w:spacing w:after="100" w:line="340"/>
        <w:jc w:val="both"/>
      </w:pPr>
      <w:r>
        <w:t xml:space="preserve">【建议新增一条】「公司各层级子公司应当纳入公司统一合规管理体系，执行本办法相关规定。从事另类投资、私募基金管理、基金销售等活动的子公司，应当由公司选派高级管理人员负责合规管理工作，并由合规负责人考核。」</w:t>
      </w:r>
    </w:p>
    <w:p>
      <w:pPr>
        <w:spacing w:after="100" w:line="340"/>
        <w:jc w:val="both"/>
      </w:pPr>
      <w:r>
        <w:t xml:space="preserve">【依据】166号令第24条。</w:t>
      </w:r>
    </w:p>
    <w:p>
      <w:pPr>
        <w:pStyle w:val="Heading1"/>
      </w:pPr>
      <w:r>
        <w:t xml:space="preserve">四、实施计划与时间表</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4500"/>
        <w:gridCol w:w="1500"/>
      </w:tblGrid>
      <w:tr>
        <w:trPr>
          <w:tblHeader/>
        </w:trPr>
        <w:tc>
          <w:tcPr>
            <w:tcW w:type="dxa" w:w="1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阶段</w:t>
            </w:r>
          </w:p>
        </w:tc>
        <w:tc>
          <w:tcPr>
            <w:tcW w:type="dxa" w:w="20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时间节点</w:t>
            </w:r>
          </w:p>
        </w:tc>
        <w:tc>
          <w:tcPr>
            <w:tcW w:type="dxa" w:w="4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关键动作</w:t>
            </w:r>
          </w:p>
        </w:tc>
        <w:tc>
          <w:tcPr>
            <w:tcW w:type="dxa" w:w="1500"/>
            <w:tcBorders>
              <w:top w:val="single" w:color="BFBFBF" w:sz="4"/>
              <w:left w:val="single" w:color="BFBFBF" w:sz="4"/>
              <w:bottom w:val="single" w:color="BFBFBF" w:sz="4"/>
              <w:right w:val="single" w:color="BFBFBF" w:sz="4"/>
            </w:tcBorders>
            <w:shd w:fill="1F4E79" w:val="clear"/>
            <w:tcMar>
              <w:top w:type="dxa" w:w="100"/>
              <w:left w:type="dxa" w:w="120"/>
              <w:bottom w:type="dxa" w:w="100"/>
              <w:right w:type="dxa" w:w="120"/>
            </w:tcMar>
          </w:tcPr>
          <w:p>
            <w:pPr>
              <w:jc w:val="center"/>
            </w:pPr>
            <w:r>
              <w:rPr>
                <w:b/>
                <w:bCs/>
                <w:color w:val="FFFFFF"/>
                <w:sz w:val="22"/>
                <w:szCs w:val="22"/>
              </w:rPr>
              <w:t xml:space="preserve">责任部门</w:t>
            </w:r>
          </w:p>
        </w:tc>
      </w:tr>
      <w:tr>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起草阶段</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2026/04/22-04/26</w:t>
            </w:r>
          </w:p>
        </w:tc>
        <w:tc>
          <w:tcPr>
            <w:tcW w:type="dxa" w:w="4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合规部完成修订稿起草，同步征求各部门意见</w:t>
            </w:r>
          </w:p>
        </w:tc>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合规部</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审议阶段</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2026/04/27-05/10</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总经理办公会审议；薪酬与考核委员会专项审议；董事会审议通过</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董秘办、合规部</w:t>
            </w:r>
          </w:p>
        </w:tc>
      </w:tr>
      <w:tr>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发布阶段</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2026/05/11-05/15</w:t>
            </w:r>
          </w:p>
        </w:tc>
        <w:tc>
          <w:tcPr>
            <w:tcW w:type="dxa" w:w="4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正式发布修订稿，废止旧版；同步启动系统与文书模板调整</w:t>
            </w:r>
          </w:p>
        </w:tc>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合规部</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培训阶段</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2026/05/16-05/31</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全员专项合规培训（分层分级），合规负责人亲自讲授关键条款</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合规部、HR</w:t>
            </w:r>
          </w:p>
        </w:tc>
      </w:tr>
      <w:tr>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配套落地</w:t>
            </w:r>
          </w:p>
        </w:tc>
        <w:tc>
          <w:tcPr>
            <w:tcW w:type="dxa" w:w="20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2026/06/01-06/30</w:t>
            </w:r>
          </w:p>
        </w:tc>
        <w:tc>
          <w:tcPr>
            <w:tcW w:type="dxa" w:w="4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配套修订《董事会议事规则》《绩效考核办法》《薪酬管理办法》等</w:t>
            </w:r>
          </w:p>
        </w:tc>
        <w:tc>
          <w:tcPr>
            <w:tcW w:type="dxa" w:w="1500"/>
            <w:tcBorders>
              <w:top w:val="single" w:color="BFBFBF" w:sz="4"/>
              <w:left w:val="single" w:color="BFBFBF" w:sz="4"/>
              <w:bottom w:val="single" w:color="BFBFBF" w:sz="4"/>
              <w:right w:val="single" w:color="BFBFBF" w:sz="4"/>
            </w:tcBorders>
            <w:shd w:fill="F2F7FB" w:val="clear"/>
            <w:tcMar>
              <w:top w:type="dxa" w:w="80"/>
              <w:left w:type="dxa" w:w="120"/>
              <w:bottom w:type="dxa" w:w="80"/>
              <w:right w:type="dxa" w:w="120"/>
            </w:tcMar>
          </w:tcPr>
          <w:p>
            <w:pPr>
              <w:jc w:val="left"/>
            </w:pPr>
            <w:r>
              <w:rPr>
                <w:sz w:val="20"/>
                <w:szCs w:val="20"/>
              </w:rPr>
              <w:t xml:space="preserve">董秘办、HR</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报送监管</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2026/07/15 前</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将修订后制度报中国证监会相关派出机构备案</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sz w:val="20"/>
                <w:szCs w:val="20"/>
              </w:rPr>
              <w:t xml:space="preserve">合规部、董秘办</w:t>
            </w:r>
          </w:p>
        </w:tc>
      </w:tr>
    </w:tbl>
    <w:p>
      <w:r>
        <w:t xml:space="preserve"> </w:t>
      </w:r>
    </w:p>
    <w:p>
      <w:pPr>
        <w:pStyle w:val="Heading1"/>
      </w:pPr>
      <w:r>
        <w:t xml:space="preserve">五、风险提示</w:t>
      </w:r>
    </w:p>
    <w:p>
      <w:pPr>
        <w:pStyle w:val="ListParagraph"/>
        <w:numPr>
          <w:ilvl w:val="0"/>
          <w:numId w:val="3"/>
        </w:numPr>
        <w:spacing w:after="80" w:line="320"/>
      </w:pPr>
      <w:r>
        <w:t xml:space="preserve">若修订未在合理期限内完成，可能面临派出机构下发警示函、责令改正甚至监管谈话。</w:t>
      </w:r>
    </w:p>
    <w:p>
      <w:pPr>
        <w:pStyle w:val="ListParagraph"/>
        <w:numPr>
          <w:ilvl w:val="0"/>
          <w:numId w:val="3"/>
        </w:numPr>
        <w:spacing w:after="80" w:line="320"/>
      </w:pPr>
      <w:r>
        <w:t xml:space="preserve">合规负责人任职条件与现状如有差距，需在半年缓冲期内完成调整或重新任命。</w:t>
      </w:r>
    </w:p>
    <w:p>
      <w:pPr>
        <w:pStyle w:val="ListParagraph"/>
        <w:numPr>
          <w:ilvl w:val="0"/>
          <w:numId w:val="3"/>
        </w:numPr>
        <w:spacing w:after="80" w:line="320"/>
      </w:pPr>
      <w:r>
        <w:t xml:space="preserve">配套文件（绩效考核、薪酬管理、董事会议事规则）的同步修订工作量较大，建议成立跨部门专项工作组。</w:t>
      </w:r>
    </w:p>
    <w:p>
      <w:r>
        <w:t xml:space="preserve"> </w:t>
      </w:r>
    </w:p>
    <w:p>
      <w:pPr>
        <w:jc w:val="right"/>
      </w:pPr>
      <w:r>
        <w:rPr>
          <w:i/>
          <w:iCs/>
          <w:color w:val="808080"/>
          <w:sz w:val="20"/>
          <w:szCs w:val="20"/>
        </w:rPr>
        <w:t xml:space="preserve">起草：合规部   |   审核：合规总监   |   拟提交：公司董事会</w:t>
      </w:r>
    </w:p>
    <w:p>
      <w:pPr>
        <w:jc w:val="right"/>
      </w:pPr>
      <w:r>
        <w:rPr>
          <w:i/>
          <w:iCs/>
          <w:color w:val="808080"/>
          <w:sz w:val="18"/>
          <w:szCs w:val="18"/>
        </w:rPr>
        <w:t xml:space="preserve">由 WorkBuddy 辅助生成 · 2026 年 4 月</w:t>
      </w:r>
    </w:p>
    <w:sectPr>
      <w:headerReference w:type="default" r:id="rId7"/>
      <w:footerReference w:type="default" r:id="rId8"/>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8"/>
        <w:szCs w:val="18"/>
      </w:rPr>
      <w:t xml:space="preserve">第 </w:t>
    </w:r>
    <w:r>
      <w:rPr>
        <w:color w:val="808080"/>
        <w:sz w:val="18"/>
        <w:szCs w:val="18"/>
      </w:rPr>
      <w:fldChar w:fldCharType="begin"/>
      <w:instrText xml:space="preserve">PAGE</w:instrText>
      <w:fldChar w:fldCharType="separate"/>
      <w:fldChar w:fldCharType="end"/>
    </w:r>
    <w:r>
      <w:rPr>
        <w:color w:val="808080"/>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8"/>
        <w:szCs w:val="18"/>
      </w:rPr>
      <w:t xml:space="preserve">《合规管理办法》修订建议书 | WorkBuddy 自动生成</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思源黑体 CN" w:cs="思源黑体 CN" w:eastAsia="思源黑体 CN" w:hAnsi="思源黑体 C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00"/>
      <w:outlineLvl w:val="0"/>
    </w:pPr>
    <w:rPr>
      <w:rFonts w:ascii="思源黑体 CN" w:cs="思源黑体 CN" w:eastAsia="思源黑体 CN" w:hAnsi="思源黑体 CN"/>
      <w:b/>
      <w:bCs/>
      <w:color w:val="1F4E79"/>
      <w:sz w:val="36"/>
      <w:szCs w:val="36"/>
    </w:rPr>
  </w:style>
  <w:style w:type="paragraph" w:styleId="Heading2">
    <w:name w:val="Heading 2"/>
    <w:basedOn w:val="Normal"/>
    <w:next w:val="Normal"/>
    <w:qFormat/>
    <w:pPr>
      <w:spacing w:after="160" w:before="240"/>
      <w:outlineLvl w:val="1"/>
    </w:pPr>
    <w:rPr>
      <w:rFonts w:ascii="思源黑体 CN" w:cs="思源黑体 CN" w:eastAsia="思源黑体 CN" w:hAnsi="思源黑体 CN"/>
      <w:b/>
      <w:bCs/>
      <w:color w:val="2E75B6"/>
      <w:sz w:val="28"/>
      <w:szCs w:val="28"/>
    </w:rPr>
  </w:style>
  <w:style w:type="paragraph" w:styleId="Heading3">
    <w:name w:val="Heading 3"/>
    <w:basedOn w:val="Normal"/>
    <w:next w:val="Normal"/>
    <w:qFormat/>
    <w:pPr>
      <w:spacing w:after="120" w:before="180"/>
      <w:outlineLvl w:val="2"/>
    </w:pPr>
    <w:rPr>
      <w:rFonts w:ascii="思源黑体 CN" w:cs="思源黑体 CN" w:eastAsia="思源黑体 CN" w:hAnsi="思源黑体 CN"/>
      <w:b/>
      <w:bCs/>
      <w:color w:val="40404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2026-04-21T13:56:25.812Z</dcterms:created>
  <dcterms:modified xsi:type="dcterms:W3CDTF">2026-04-21T13:56:25.812Z</dcterms:modified>
</cp:coreProperties>
</file>

<file path=docProps/custom.xml><?xml version="1.0" encoding="utf-8"?>
<Properties xmlns="http://schemas.openxmlformats.org/officeDocument/2006/custom-properties" xmlns:vt="http://schemas.openxmlformats.org/officeDocument/2006/docPropsVTypes"/>
</file>