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2E75B6"/>
          <w:sz w:val="28"/>
          <w:szCs w:val="28"/>
        </w:rPr>
        <w:t xml:space="preserve">【交付物二】</w:t>
      </w:r>
    </w:p>
    <w:p>
      <w:pPr>
        <w:spacing w:after="300"/>
        <w:jc w:val="center"/>
      </w:pPr>
      <w:r>
        <w:rPr>
          <w:b/>
          <w:bCs/>
          <w:color w:val="1F4E79"/>
          <w:sz w:val="40"/>
          <w:szCs w:val="40"/>
        </w:rPr>
        <w:t xml:space="preserve">内部制度差异清单</w:t>
      </w:r>
    </w:p>
    <w:p>
      <w:pPr>
        <w:spacing w:after="400"/>
        <w:jc w:val="center"/>
      </w:pPr>
      <w:r>
        <w:rPr>
          <w:i/>
          <w:iCs/>
          <w:color w:val="808080"/>
          <w:sz w:val="20"/>
          <w:szCs w:val="20"/>
        </w:rPr>
        <w:t xml:space="preserve">比对对象：××证券《合规管理办法》V2.1（2019年修订） vs 《证券公司和证券投资基金管理公司合规管理办法》（166号令）</w:t>
      </w:r>
    </w:p>
    <w:p>
      <w:pPr>
        <w:spacing w:after="100" w:line="340"/>
        <w:jc w:val="both"/>
      </w:pPr>
      <w:r>
        <w:t xml:space="preserve">本清单由 WorkBuddy 逐条比对监管原文与现行内部制度生成，按差异严重程度排序。</w:t>
      </w:r>
    </w:p>
    <w:p>
      <w:r>
        <w:t xml:space="preserve"> </w:t>
      </w:r>
    </w:p>
    <w:tbl>
      <w:tblPr>
        <w:tblW w:type="dxa" w:w="12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700"/>
        <w:gridCol w:w="1800"/>
        <w:gridCol w:w="3500"/>
        <w:gridCol w:w="3500"/>
        <w:gridCol w:w="2300"/>
      </w:tblGrid>
      <w:tr>
        <w:trPr>
          <w:tblHeader/>
        </w:trP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编号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严重度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差异主题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监管要求（应然）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现行制度（实然）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整改方向</w:t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差异点 1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高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合规负责人任职条件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监管第18条要求：从事证券/基金工作10年以上+通过合规胜任考试；或5年以上+通过法考；或监管机构任职5年以上。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现行第8条仅要求：证券/金融工作5年以上，且未要求取得合规胜任考试或法考资格。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★ 严重不匹配，现任合规总监履历需重新核查；新聘任合规负责人须严格按监管条件把关。</w:t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差异点 2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高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合规人员考核权重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监管第27条要求：对兼职合规管理人员进行考核，合规负责人所占权重应当超过 50%。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现行第10条要求：合规总监考核意见所占权重不低于 30%。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★ 权重偏低 20 个百分点，需将《绩效考核办法》兼职合规员考核条款中合规负责人权重上调至 51% 或以上。</w:t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差异点 3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高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合规负责人薪酬中位数保障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监管第28条明确要求：合规负责人工作称职时，其年度薪酬总额在高管薪酬中排名不得低于中位数。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现行第11条仅规定：由董事会根据履职情况确定薪酬，未设定中位数对标口径。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★ 制度缺失重要条款，需在薪酬方案中增补「中位数对照测算」环节，并由薪酬委员会年度复核。</w:t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差异点 4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高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合规管理有效性评估频率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监管第31条要求：对合规管理有效性的全面评估每年不得少于1次；委托外部专业机构每3年至少进行1次。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现行第17条规定：每 2 年组织一次，且可由公司内部组织实施，未强制外部评估。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★ 评估频率不足，且缺失外部评估要求；需修订为「每年内部评估+每3年外部评估」双轨机制。</w:t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差异点 5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中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年度合规报告披露时限与内容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监管第30条明确：年度合规报告应与年度报告同时报送派出机构，且须包含「合规管理基本情况、合规负责人履职、违规整改、有效性评估」等5项内容。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现行第16条规定：在公司年报披露后 30 个工作日内完成报送，报告内容未完整列举5项必备项目。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★ 时限滞后且内容要素不全；需修订报告模板和报送机制。</w:t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差异点 6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中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合规审查的「不可绕过」机制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监管第13条规定：公司不采纳合规负责人的合规审查意见的，应当将有关事项提交董事会决定。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现行第5条未明确规定「不采纳需上董事会」的强制路径，存在绕过合规审查的制度空白。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★ 需增补「异议上董事会」条款，确保合规审查形成闭环。</w:t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差异点 7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中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董事会议事程序的合规提前知情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监管第25条要求：公司召开董事会、经营决策会议等重要会议时，应提前通知合规负责人。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现行《合规管理办法》第9条虽提及合规总监「可参加会议」，但未明确「提前通知」义务。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★ 需修订《董事会议事规则》，增设「议题及材料提前1个工作日发送合规总监」要求。</w:t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差异点 8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中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合规部门职责冲突禁止条款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监管第21条明确要求：合规部门不得承担与合规管理相冲突的其他职责。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现行第6条仅笼统规定「合规部负责合规管理的日常事务性工作」，未排除其他职责。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★ 需梳理合规部现有职责清单，剥离与合规独立性相冲突的事项。</w:t>
            </w:r>
          </w:p>
        </w:tc>
      </w:tr>
      <w:tr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差异点 9</w:t>
            </w:r>
          </w:p>
        </w:tc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低</w:t>
            </w:r>
          </w:p>
        </w:tc>
        <w:tc>
          <w:tcPr>
            <w:tcW w:type="dxa" w:w="1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附则完整性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监管第39条：保险资管/私募资管等参照执行；第38条：行业重要性机构可提高合规管理要求。</w:t>
            </w:r>
          </w:p>
        </w:tc>
        <w:tc>
          <w:tcPr>
            <w:tcW w:type="dxa" w:w="3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现行《合规管理办法》附则部分仅有3条，未涉及子公司/关联机构参照执行事项。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◎ 建议在附则部分增补子公司合规管理纳入统一体系的表述。</w:t>
            </w:r>
          </w:p>
        </w:tc>
      </w:tr>
    </w:tbl>
    <w:p>
      <w:r>
        <w:t xml:space="preserve"> </w:t>
      </w:r>
    </w:p>
    <w:p>
      <w:pPr>
        <w:pStyle w:val="Heading2"/>
      </w:pPr>
      <w:r>
        <w:t xml:space="preserve">统计概览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共识别差异 9 处：高风险 4 处、中风险 4 处、低风险 1 处。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高风险差异集中在「合规负责人任职与保障」相关条款（第18、27、28、31条），需优先完成整改。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建议整改时限：高风险 30 日内、中风险 60 日内、低风险纳入下轮年度修订。</w:t>
      </w:r>
    </w:p>
    <w:p>
      <w:r>
        <w:t xml:space="preserve"> </w:t>
      </w:r>
    </w:p>
    <w:p>
      <w:pPr>
        <w:jc w:val="right"/>
      </w:pPr>
      <w:r>
        <w:rPr>
          <w:i/>
          <w:iCs/>
          <w:color w:val="808080"/>
          <w:sz w:val="18"/>
          <w:szCs w:val="18"/>
        </w:rPr>
        <w:t xml:space="preserve">由 WorkBuddy 比对生成 · 2026年4月</w:t>
      </w:r>
    </w:p>
    <w:sectPr>
      <w:headerReference w:type="default" r:id="rId7"/>
      <w:footerReference w:type="default" r:id="rId8"/>
      <w:pgSz w:w="16838" w:h="11906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8"/>
        <w:szCs w:val="18"/>
      </w:rPr>
      <w:t xml:space="preserve">第 </w:t>
    </w:r>
    <w:r>
      <w:rPr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808080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08080"/>
        <w:sz w:val="18"/>
        <w:szCs w:val="18"/>
      </w:rPr>
      <w:t xml:space="preserve">内部制度差异清单 | WorkBuddy 自动生成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思源黑体 CN" w:cs="思源黑体 CN" w:eastAsia="思源黑体 CN" w:hAnsi="思源黑体 C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00"/>
      <w:outlineLvl w:val="0"/>
    </w:pPr>
    <w:rPr>
      <w:rFonts w:ascii="思源黑体 CN" w:cs="思源黑体 CN" w:eastAsia="思源黑体 CN" w:hAnsi="思源黑体 CN"/>
      <w:b/>
      <w:bCs/>
      <w:color w:val="C0000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40"/>
      <w:outlineLvl w:val="1"/>
    </w:pPr>
    <w:rPr>
      <w:rFonts w:ascii="思源黑体 CN" w:cs="思源黑体 CN" w:eastAsia="思源黑体 CN" w:hAnsi="思源黑体 CN"/>
      <w:b/>
      <w:bCs/>
      <w:color w:val="2E75B6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80"/>
      <w:outlineLvl w:val="2"/>
    </w:pPr>
    <w:rPr>
      <w:rFonts w:ascii="思源黑体 CN" w:cs="思源黑体 CN" w:eastAsia="思源黑体 CN" w:hAnsi="思源黑体 CN"/>
      <w:b/>
      <w:bCs/>
      <w:color w:val="40404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2026-04-21T13:56:25.811Z</dcterms:created>
  <dcterms:modified xsi:type="dcterms:W3CDTF">2026-04-21T13:56:25.811Z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