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  <w:rPr>
          <w:b/>
          <w:bCs/>
          <w:color w:val="2E75B6"/>
          <w:sz w:val="28"/>
          <w:szCs w:val="28"/>
        </w:rPr>
      </w:pPr>
      <w:r>
        <w:rPr>
          <w:b/>
          <w:bCs/>
          <w:color w:val="2E75B6"/>
          <w:sz w:val="28"/>
          <w:szCs w:val="28"/>
        </w:rPr>
        <w:t xml:space="preserve">【交付物二】</w:t>
      </w:r>
    </w:p>
    <w:p>
      <w:pPr>
        <w:spacing w:after="100"/>
        <w:jc w:val="center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 xml:space="preserve">关键财务指标异常提示</w:t>
      </w:r>
    </w:p>
    <w:p>
      <w:pPr>
        <w:spacing w:after="400"/>
        <w:jc w:val="center"/>
        <w:rPr>
          <w:color w:val="2E75B6"/>
          <w:sz w:val="24"/>
          <w:szCs w:val="24"/>
        </w:rPr>
      </w:pPr>
      <w:r>
        <w:rPr>
          <w:color w:val="2E75B6"/>
          <w:sz w:val="24"/>
          <w:szCs w:val="24"/>
        </w:rPr>
        <w:t xml:space="preserve">景明智能科技股份有限公司 · IPO 项目</w:t>
      </w:r>
    </w:p>
    <w:p>
      <w:pPr>
        <w:spacing w:after="100" w:line="340"/>
        <w:jc w:val="both"/>
      </w:pPr>
      <w:r>
        <w:t xml:space="preserve">本报告由 WorkBuddy 基于尽调材料自动进行财务异常扫描，共识别 6 项需要重点关注的指标，按风险等级排序。保荐团队应对每项进行深入核查，并在招股书「风险因素」章节充分披露。</w:t>
      </w:r>
    </w:p>
    <w:p>
      <w:r>
        <w:t xml:space="preserve"> </w:t>
      </w:r>
    </w:p>
    <w:tbl>
      <w:tblPr>
        <w:tblW w:type="dxa" w:w="13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00"/>
        <w:gridCol w:w="2200"/>
        <w:gridCol w:w="3200"/>
        <w:gridCol w:w="2800"/>
        <w:gridCol w:w="3800"/>
      </w:tblGrid>
      <w:tr>
        <w:trPr>
          <w:tblHeader/>
        </w:trP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编号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风险
等级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异常指标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具体表现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可能原因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C00000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建议核查动作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01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🔴 高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第一大客户集中度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第1大客户华为占比连续3年上升（15.8% → 19.2% → 24.5%），2025年超过20%关键阈值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①行业高端客户集中；②华为供应链采购倾斜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①核查华为采购合同期限与续签机制；②获取华为采购决策人访谈；③测算失去华为订单后的业绩敏感性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02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🔴 高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关联交易占比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关联销售占营收比三年翻倍（8.2% → 12.5% → 18.3%）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①景驰智控业务快速扩张；②存在利润转移嫌疑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①核查关联交易定价公允性（抽取10笔大额比对独立客户价）；②确认关联方资金流向；③要求出具关联交易独立性声明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03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🟠 中高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应收账款账期延长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周转天数 108→128→145 天，账期拉长近 40 天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①客户账期普遍延长；②公司议价能力下降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①前20大应收账款函证；②核查逾期账款真实性与坏账准备充分性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04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🟠 中高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应收账款增速 &gt; 营收增速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应收账款增速 60.5% &gt; 营收增速 42.7%（2025）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①存在期末压货或提前确认收入嫌疑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①抽查期末销售截止性测试（20笔最大销售）；②函证客户到货确认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05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🟡 中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研发费用率大幅上升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研发费用率从8.9%升至12.5%，高于行业平均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①研发投入加大（正面）；②也可能存在费用化/资本化口径调整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①核查研发项目清单与立项审批；②确认研发费用分类一致性</w:t>
            </w:r>
          </w:p>
        </w:tc>
      </w:tr>
      <w:tr>
        <w:tc>
          <w:tcPr>
            <w:tcW w:type="dxa" w:w="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06</w:t>
            </w:r>
          </w:p>
        </w:tc>
        <w:tc>
          <w:tcPr>
            <w:tcW w:type="dxa" w:w="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🟡 中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销售/管理费用增速 &gt; 营收增速</w:t>
            </w:r>
          </w:p>
        </w:tc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销售费用 +43.6%、管理费用 +44.4%，均高于营收 +42.7%</w:t>
            </w:r>
          </w:p>
        </w:tc>
        <w:tc>
          <w:tcPr>
            <w:tcW w:type="dxa" w:w="2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①产能扩张导致规模费用前置</w:t>
            </w:r>
          </w:p>
        </w:tc>
        <w:tc>
          <w:tcPr>
            <w:tcW w:type="dxa" w:w="38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>①审阅重大费用凭证；②确认费用真实性和跨期划分</w:t>
            </w:r>
          </w:p>
        </w:tc>
      </w:tr>
    </w:tbl>
    <w:p>
      <w:r>
        <w:t xml:space="preserve"> </w:t>
      </w:r>
    </w:p>
    <w:p>
      <w:pPr>
        <w:pStyle w:val="Heading1"/>
      </w:pPr>
      <w:r>
        <w:t xml:space="preserve">综合评估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高风险 2 项：客户集中度与关联交易占比，预计将成为交易所问询函重点关注的问题。建议在招股书风险因素部分进行充分、具体的披露，并准备详实的应对材料。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中高风险 2 项：应收账款相关，需要通过函证、期末截止性测试加以夯实。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中风险 2 项：研发与费用结构异常，属正常业务扩张表现，但需确认会计处理口径的一致性。</w:t>
      </w:r>
    </w:p>
    <w:p>
      <w:pPr>
        <w:pStyle w:val="Heading1"/>
      </w:pPr>
      <w:r>
        <w:t xml:space="preserve">建议补充尽调动作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客户访谈：华为采购负责人访谈（优先级★★★）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独立第三方询证：向前 20 大客户和前 20 大应收账款发函证（优先级★★★）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关联方核查：景驰智控工商、税务、银行流水、公众号等外部信息核查（优先级★★★）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期末截止性测试：抽取 2025/12 月最后一周销售凭证 20 笔进行截止测试（优先级★★）</w:t>
      </w:r>
    </w:p>
    <w:p>
      <w:pPr>
        <w:pStyle w:val="ListParagraph"/>
        <w:numPr>
          <w:ilvl w:val="0"/>
          <w:numId w:val="3"/>
        </w:numPr>
        <w:spacing w:after="80" w:line="320"/>
      </w:pPr>
      <w:r>
        <w:t xml:space="preserve">行业研究：委托行业研究机构出具独立研究报告，佐证公司市场地位（优先级★★）</w:t>
      </w:r>
    </w:p>
    <w:sectPr>
      <w:headerReference w:type="default" r:id="rId7"/>
      <w:footerReference w:type="default" r:id="rId8"/>
      <w:pgSz w:w="16838" w:h="11906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景明科技IPO-异常指标提示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C00000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2026-04-21T14:19:33.336Z</dcterms:created>
  <dcterms:modified xsi:type="dcterms:W3CDTF">2026-04-21T14:19:33.336Z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