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E75B6"/>
          <w:sz w:val="28"/>
          <w:szCs w:val="28"/>
        </w:rPr>
        <w:t xml:space="preserve">【交付物一】</w:t>
      </w:r>
    </w:p>
    <w:p>
      <w:pPr>
        <w:spacing w:after="300"/>
        <w:jc w:val="center"/>
      </w:pPr>
      <w:r>
        <w:rPr>
          <w:b/>
          <w:bCs/>
          <w:color w:val="1F4E79"/>
          <w:sz w:val="40"/>
          <w:szCs w:val="40"/>
        </w:rPr>
        <w:t xml:space="preserve">监管条款影响分析表</w:t>
      </w:r>
    </w:p>
    <w:p>
      <w:pPr>
        <w:spacing w:after="400"/>
        <w:jc w:val="center"/>
      </w:pPr>
      <w:r>
        <w:rPr>
          <w:i/>
          <w:iCs/>
          <w:color w:val="808080"/>
          <w:sz w:val="20"/>
          <w:szCs w:val="20"/>
        </w:rPr>
        <w:t xml:space="preserve">文件来源：《证券公司和证券投资基金管理公司合规管理办法》（证监会令第166号）</w:t>
      </w:r>
    </w:p>
    <w:p>
      <w:pPr>
        <w:spacing w:after="100" w:line="340"/>
        <w:jc w:val="both"/>
      </w:pPr>
      <w:r>
        <w:t xml:space="preserve">本表基于监管原文逐条梳理，按「条款—监管要点—影响业务条线—影响程度—主责部门—整改动作」六维度呈现，供合规部组织落地整改使用。</w:t>
      </w:r>
    </w:p>
    <w:p>
      <w:r>
        <w:t xml:space="preserve"> </w:t>
      </w:r>
    </w:p>
    <w:tbl>
      <w:tblPr>
        <w:tblW w:type="dxa" w:w="10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800"/>
        <w:gridCol w:w="1800"/>
        <w:gridCol w:w="700"/>
        <w:gridCol w:w="1600"/>
        <w:gridCol w:w="2500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条款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监管要点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影响业务条线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影响
程度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主责部门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整改动作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第6条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八项基本经营要求（客户适当性、内幕信息管理、利益冲突防范等）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经纪、投行、资管、自营全条线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经纪业务部、投行部、资管子公司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核查客户适当性分档是否到位；检查信息隔离墙执行情况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第7条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董事会的7项合规管理职责（含审议批准基本制度、决定合规负责人聘任等）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董事会办公室、公司治理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董秘办、合规部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修订《董事会议事规则》，明确合规审议事项清单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第9条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高级管理人员的3项合规管理职责（组织架构建设、违规追责、资源保障等）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经营层、各业务条线负责人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总经理办公会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CEO 例会增设合规专项议题，建立违规整改闭环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第11-13条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合规负责人职责：审查制度/决策/新业务、出具书面意见、不采纳需上董事会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合规总监、各业务条线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合规部、新业务委员会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建立合规审查「不可绕过」机制，审查意见全量留痕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第15条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合规负责人重大事项报告路径（董事会→派出机构→自律组织）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合规总监、董秘办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明确三级上报时限与模板，避免漏报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第18条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合规负责人任职条件（从业10年+合规胜任考试，或5年+法考，或监管5年）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人力资源部、合规部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HR、合规部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核查现任合规总监履历是否全面达标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第21条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合规部门不得承担与合规管理相冲突的其他职责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合规部、人力资源部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梳理合规部现有职责清单，剥离冲突职能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第22-23条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合规部门专业合规人员占比不得低于协会规定比例；高风险部门须专职合规员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合规部、各业务条线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合规部、人力资源部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启动合规人员资质盘点与补员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第25条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合规负责人的知情权和调查权保障（参加/列席会议、查阅资料、聘请外部机构）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董事会办公室、各部门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董秘办、各部门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修订重要会议通知机制，确保提前告知合规总监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第26条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合规负责人的独立性保障（股东/董事/高管不得违规干涉）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董事会、经营层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董事会、监事会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完善独立性保障条款，纳入《公司章程》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第27条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对兼职合规人员考核，合规负责人权重须超过 50%；合规性专项考核有最低比例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人力资源部、合规部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HR、合规部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修订《绩效考核办法》，上调合规负责人考核权重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第28条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合规负责人年度薪酬总额排名不得低于高管中位数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薪酬委员会、人力资源部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薪酬委员会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年度薪酬方案增设中位数对照测算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第30条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年度合规报告报送（含基本情况、负责人履职、违规整改、有效性评估等5项内容）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合规部、董秘办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修订年度合规报告模板与披露时限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第31条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合规管理有效性评估（内部评估每年1次、外部机构每3年至少1次）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合规部、审计部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合规部、审计部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建立外部评估机构库，制定3年评估计划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第32-35条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违规责任追究与行政监管措施（警示函/责令改正/罚款等）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全体高管、董事、监事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董事会、合规部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修订《违规问责办法》，细化认定标准</w:t>
            </w:r>
          </w:p>
        </w:tc>
      </w:tr>
    </w:tbl>
    <w:p>
      <w:r>
        <w:t xml:space="preserve"> </w:t>
      </w:r>
    </w:p>
    <w:p>
      <w:pPr>
        <w:spacing w:after="100" w:line="340"/>
        <w:jc w:val="both"/>
      </w:pPr>
      <w:r>
        <w:t xml:space="preserve">说明：影响程度分「高」「中」「低」三档。「高」表示新规要求与现行做法存在明显差距，需在 30 日内完成整改；「中」表示需在 60 日内完成；「低」表示需持续优化。</w:t>
      </w:r>
    </w:p>
    <w:p>
      <w:r>
        <w:t xml:space="preserve"> </w:t>
      </w:r>
    </w:p>
    <w:p>
      <w:pPr>
        <w:jc w:val="right"/>
      </w:pPr>
      <w:r>
        <w:rPr>
          <w:i/>
          <w:iCs/>
          <w:color w:val="808080"/>
          <w:sz w:val="18"/>
          <w:szCs w:val="18"/>
        </w:rPr>
        <w:t xml:space="preserve">由 WorkBuddy 基于监管原文自动生成 · 2026年4月</w:t>
      </w:r>
    </w:p>
    <w:sectPr>
      <w:headerReference w:type="default" r:id="rId7"/>
      <w:footerReference w:type="default" r:id="rId8"/>
      <w:pgSz w:w="16838" w:h="11906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监管条款影响分析表 | WorkBuddy 自动生成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 CN" w:cs="思源黑体 CN" w:eastAsia="思源黑体 CN" w:hAnsi="思源黑体 C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思源黑体 CN" w:cs="思源黑体 CN" w:eastAsia="思源黑体 CN" w:hAnsi="思源黑体 CN"/>
      <w:b/>
      <w:bCs/>
      <w:color w:val="C0000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思源黑体 CN" w:cs="思源黑体 CN" w:eastAsia="思源黑体 CN" w:hAnsi="思源黑体 CN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80"/>
      <w:outlineLvl w:val="2"/>
    </w:pPr>
    <w:rPr>
      <w:rFonts w:ascii="思源黑体 CN" w:cs="思源黑体 CN" w:eastAsia="思源黑体 CN" w:hAnsi="思源黑体 CN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2026-04-21T13:56:25.809Z</dcterms:created>
  <dcterms:modified xsi:type="dcterms:W3CDTF">2026-04-21T13:56:25.809Z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