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rPr>
          <w:b/>
          <w:bCs/>
          <w:color w:val="2E75B6"/>
          <w:sz w:val="28"/>
          <w:szCs w:val="28"/>
        </w:rPr>
      </w:pPr>
      <w:r>
        <w:rPr>
          <w:b/>
          <w:bCs/>
          <w:color w:val="2E75B6"/>
          <w:sz w:val="28"/>
          <w:szCs w:val="28"/>
        </w:rPr>
        <w:t xml:space="preserve">【交付物一】</w:t>
      </w:r>
    </w:p>
    <w:p>
      <w:pPr>
        <w:spacing w:after="100"/>
        <w:jc w:val="center"/>
        <w:rPr>
          <w:b/>
          <w:bCs/>
          <w:color w:val="1F4E79"/>
          <w:sz w:val="32"/>
          <w:szCs w:val="32"/>
        </w:rPr>
      </w:pPr>
      <w:r>
        <w:rPr>
          <w:b/>
          <w:bCs/>
          <w:color w:val="1F4E79"/>
          <w:sz w:val="32"/>
          <w:szCs w:val="32"/>
        </w:rPr>
        <w:t xml:space="preserve">景明智能科技股份有限公司</w:t>
      </w:r>
    </w:p>
    <w:p>
      <w:pPr>
        <w:spacing w:after="100"/>
        <w:jc w:val="center"/>
        <w:rPr>
          <w:b/>
          <w:bCs/>
          <w:color w:val="1F4E79"/>
          <w:sz w:val="26"/>
          <w:szCs w:val="26"/>
        </w:rPr>
      </w:pPr>
      <w:r>
        <w:rPr>
          <w:b/>
          <w:bCs/>
          <w:color w:val="1F4E79"/>
          <w:sz w:val="26"/>
          <w:szCs w:val="26"/>
        </w:rPr>
        <w:t xml:space="preserve">首次公开发行股票并在创业板上市招股说明书</w:t>
      </w:r>
    </w:p>
    <w:p>
      <w:pPr>
        <w:spacing w:after="400"/>
        <w:jc w:val="center"/>
        <w:rPr>
          <w:color w:val="2E75B6"/>
          <w:sz w:val="26"/>
          <w:szCs w:val="26"/>
        </w:rPr>
      </w:pPr>
      <w:r>
        <w:rPr>
          <w:color w:val="2E75B6"/>
          <w:sz w:val="26"/>
          <w:szCs w:val="26"/>
        </w:rPr>
        <w:t xml:space="preserve">（关键章节初稿）</w:t>
      </w:r>
    </w:p>
    <w:p>
      <w:pPr>
        <w:spacing w:after="100"/>
        <w:jc w:val="center"/>
        <w:rPr>
          <w:i/>
          <w:iCs/>
          <w:color w:val="808080"/>
          <w:sz w:val="20"/>
          <w:szCs w:val="20"/>
        </w:rPr>
      </w:pPr>
      <w:r>
        <w:rPr>
          <w:i/>
          <w:iCs/>
          <w:color w:val="808080"/>
          <w:sz w:val="20"/>
          <w:szCs w:val="20"/>
        </w:rPr>
        <w:t xml:space="preserve">由 WorkBuddy 基于尽调材料自动生成 · 待保荐代表人复核</w:t>
      </w:r>
    </w:p>
    <w:p>
      <w:r>
        <w:br w:type="page"/>
      </w:r>
    </w:p>
    <w:p>
      <w:pPr>
        <w:pStyle w:val="Heading1"/>
      </w:pPr>
      <w:r>
        <w:t xml:space="preserve">第一节 发行人业务概况</w:t>
      </w:r>
    </w:p>
    <w:p>
      <w:pPr>
        <w:pStyle w:val="Heading2"/>
      </w:pPr>
      <w:r>
        <w:t xml:space="preserve">一、主营业务</w:t>
      </w:r>
    </w:p>
    <w:p>
      <w:pPr>
        <w:spacing w:after="100" w:line="340"/>
        <w:jc w:val="both"/>
      </w:pPr>
      <w:r>
        <w:t xml:space="preserve">发行人是一家专注于工业机器人及智能装备研发、生产与销售的高新技术企业。公司致力于以运动控制、机器视觉、柔性抓取等核心技术为基础，为下游制造业客户提供工业协作机器人、SCARA 机械臂、AGV 智能物流机器人、工业视觉检测系统四大产品线。公司成立于 2014年3月，总部位于 江苏苏州工业园区。报告期内（2023-2025 年），公司主营业务收入占营业收入比例均超过 95%，主营业务突出。</w:t>
      </w:r>
    </w:p>
    <w:p>
      <w:pPr>
        <w:pStyle w:val="Heading2"/>
      </w:pPr>
      <w:r>
        <w:t xml:space="preserve">二、主要产品及应用领域</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500"/>
        <w:gridCol w:w="1700"/>
        <w:gridCol w:w="1100"/>
      </w:tblGrid>
      <w:tr>
        <w:trPr>
          <w:tblHeader/>
        </w:trPr>
        <w:tc>
          <w:tcPr>
            <w:tcW w:type="dxa" w:w="22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产品线</w:t>
            </w:r>
          </w:p>
        </w:tc>
        <w:tc>
          <w:tcPr>
            <w:tcW w:type="dxa" w:w="2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核心规格</w:t>
            </w:r>
          </w:p>
        </w:tc>
        <w:tc>
          <w:tcPr>
            <w:tcW w:type="dxa" w:w="2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主要应用领域</w:t>
            </w:r>
          </w:p>
        </w:tc>
        <w:tc>
          <w:tcPr>
            <w:tcW w:type="dxa" w:w="17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2025年收入（亿元）</w:t>
            </w:r>
          </w:p>
        </w:tc>
        <w:tc>
          <w:tcPr>
            <w:tcW w:type="dxa" w:w="11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占比</w:t>
            </w:r>
          </w:p>
        </w:tc>
      </w:tr>
      <w:tr>
        <w:tc>
          <w:tcPr>
            <w:tcW w:type="dxa" w:w="22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工业协作机器人</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负载 3kg-16kg，精度 ±0.03mm</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3C电子组装、汽车零部件装配</w:t>
            </w:r>
          </w:p>
        </w:tc>
        <w:tc>
          <w:tcPr>
            <w:tcW w:type="dxa" w:w="17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3.85</w:t>
            </w:r>
          </w:p>
        </w:tc>
        <w:tc>
          <w:tcPr>
            <w:tcW w:type="dxa" w:w="1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39.98%</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SCARA 机械臂</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负载 3kg-20kg，速度 0.3s/周期</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半导体封装测试、精密装配</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2.41</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25.03%</w:t>
            </w:r>
          </w:p>
        </w:tc>
      </w:tr>
      <w:tr>
        <w:tc>
          <w:tcPr>
            <w:tcW w:type="dxa" w:w="22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AGV 智能物流机器人</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载重 50kg-1500kg</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仓储搬运、柔性物流</w:t>
            </w:r>
          </w:p>
        </w:tc>
        <w:tc>
          <w:tcPr>
            <w:tcW w:type="dxa" w:w="17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1.78</w:t>
            </w:r>
          </w:p>
        </w:tc>
        <w:tc>
          <w:tcPr>
            <w:tcW w:type="dxa" w:w="1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18.48%</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工业视觉检测系统</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检测精度 ±0.01mm</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制造业品质检测</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1.41</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14.64%</w:t>
            </w:r>
          </w:p>
        </w:tc>
      </w:tr>
      <w:tr>
        <w:tc>
          <w:tcPr>
            <w:tcW w:type="dxa" w:w="22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其他（配件、服务）</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w:t>
            </w:r>
          </w:p>
        </w:tc>
        <w:tc>
          <w:tcPr>
            <w:tcW w:type="dxa" w:w="17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0.18</w:t>
            </w:r>
          </w:p>
        </w:tc>
        <w:tc>
          <w:tcPr>
            <w:tcW w:type="dxa" w:w="1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1.87%</w:t>
            </w:r>
          </w:p>
        </w:tc>
      </w:tr>
    </w:tbl>
    <w:p>
      <w:r>
        <w:t xml:space="preserve"> </w:t>
      </w:r>
    </w:p>
    <w:p>
      <w:pPr>
        <w:pStyle w:val="Heading2"/>
      </w:pPr>
      <w:r>
        <w:t xml:space="preserve">三、核心技术与行业地位</w:t>
      </w:r>
    </w:p>
    <w:p>
      <w:pPr>
        <w:spacing w:after="100" w:line="340"/>
        <w:jc w:val="both"/>
      </w:pPr>
      <w:r>
        <w:t xml:space="preserve">截至 2025 年 12 月 31 日，公司拥有发明专利 48 项、实用新型专利 112 项；研发人员 156 人，占公司总人数的 22%；2025 年研发投入 1.20 亿元，占营业收入比例 12.50%，显著高于同行业可比公司平均水平。据 MIR 睿工业统计，2025 年公司协作机器人产品国内市场份额约 6.2%，位列国内第三。</w:t>
      </w:r>
    </w:p>
    <w:p>
      <w:r>
        <w:br w:type="page"/>
      </w:r>
    </w:p>
    <w:p>
      <w:pPr>
        <w:pStyle w:val="Heading1"/>
      </w:pPr>
      <w:r>
        <w:t xml:space="preserve">第二节 主要财务信息</w:t>
      </w:r>
    </w:p>
    <w:p>
      <w:pPr>
        <w:pStyle w:val="Heading2"/>
      </w:pPr>
      <w:r>
        <w:t xml:space="preserve">一、最近三年主要会计数据</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000"/>
        <w:gridCol w:w="2500"/>
        <w:gridCol w:w="2500"/>
        <w:gridCol w:w="2000"/>
      </w:tblGrid>
      <w:tr>
        <w:trPr>
          <w:tblHeader/>
        </w:trPr>
        <w:tc>
          <w:tcPr>
            <w:tcW w:type="dxa" w:w="3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项目（万元）</w:t>
            </w:r>
          </w:p>
        </w:tc>
        <w:tc>
          <w:tcPr>
            <w:tcW w:type="dxa" w:w="2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2025年</w:t>
            </w:r>
          </w:p>
        </w:tc>
        <w:tc>
          <w:tcPr>
            <w:tcW w:type="dxa" w:w="2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2024年</w:t>
            </w:r>
          </w:p>
        </w:tc>
        <w:tc>
          <w:tcPr>
            <w:tcW w:type="dxa" w:w="2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2023年</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营业收入</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96,300</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67,500</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48,200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净利润</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13,600</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8,200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5,100</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扣除非经常性损益后的净利润</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12,800</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7,600</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4,800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经营活动产生的现金流量净额</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7,800</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4,500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2,200</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归属于母公司所有者权益</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62,500</w:t>
            </w:r>
          </w:p>
        </w:tc>
        <w:tc>
          <w:tcPr>
            <w:tcW w:type="dxa" w:w="2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47,900</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38,200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资产总额</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113,940</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93,190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80,090</w:t>
            </w:r>
          </w:p>
        </w:tc>
      </w:tr>
    </w:tbl>
    <w:p>
      <w:r>
        <w:t xml:space="preserve"> </w:t>
      </w:r>
    </w:p>
    <w:p>
      <w:pPr>
        <w:pStyle w:val="Heading2"/>
      </w:pPr>
      <w:r>
        <w:t xml:space="preserve">二、最近三年主要财务指标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500"/>
        <w:gridCol w:w="2100"/>
        <w:gridCol w:w="2100"/>
        <w:gridCol w:w="2300"/>
      </w:tblGrid>
      <w:tr>
        <w:trPr>
          <w:tblHeader/>
        </w:trPr>
        <w:tc>
          <w:tcPr>
            <w:tcW w:type="dxa" w:w="3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指标</w:t>
            </w:r>
          </w:p>
        </w:tc>
        <w:tc>
          <w:tcPr>
            <w:tcW w:type="dxa" w:w="21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2025年</w:t>
            </w:r>
          </w:p>
        </w:tc>
        <w:tc>
          <w:tcPr>
            <w:tcW w:type="dxa" w:w="21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2024年</w:t>
            </w:r>
          </w:p>
        </w:tc>
        <w:tc>
          <w:tcPr>
            <w:tcW w:type="dxa" w:w="23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2023年</w:t>
            </w:r>
          </w:p>
        </w:tc>
      </w:tr>
      <w:tr>
        <w:tc>
          <w:tcPr>
            <w:tcW w:type="dxa" w:w="3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加权平均净资产收益率</w:t>
            </w:r>
          </w:p>
        </w:tc>
        <w:tc>
          <w:tcPr>
            <w:tcW w:type="dxa" w:w="2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24.55%</w:t>
            </w:r>
          </w:p>
        </w:tc>
        <w:tc>
          <w:tcPr>
            <w:tcW w:type="dxa" w:w="2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19.01%</w:t>
            </w:r>
          </w:p>
        </w:tc>
        <w:tc>
          <w:tcPr>
            <w:tcW w:type="dxa" w:w="23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14.90%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基本每股收益（元）</w:t>
            </w:r>
          </w:p>
        </w:tc>
        <w:tc>
          <w:tcPr>
            <w:tcW w:type="dxa" w:w="2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1.13</w:t>
            </w:r>
          </w:p>
        </w:tc>
        <w:tc>
          <w:tcPr>
            <w:tcW w:type="dxa" w:w="2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0.68</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0.43</w:t>
            </w:r>
          </w:p>
        </w:tc>
      </w:tr>
      <w:tr>
        <w:tc>
          <w:tcPr>
            <w:tcW w:type="dxa" w:w="3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研发投入占营业收入比例</w:t>
            </w:r>
          </w:p>
        </w:tc>
        <w:tc>
          <w:tcPr>
            <w:tcW w:type="dxa" w:w="2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12.50%</w:t>
            </w:r>
          </w:p>
        </w:tc>
        <w:tc>
          <w:tcPr>
            <w:tcW w:type="dxa" w:w="2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10.30%</w:t>
            </w:r>
          </w:p>
        </w:tc>
        <w:tc>
          <w:tcPr>
            <w:tcW w:type="dxa" w:w="23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8.90%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毛利率</w:t>
            </w:r>
          </w:p>
        </w:tc>
        <w:tc>
          <w:tcPr>
            <w:tcW w:type="dxa" w:w="2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42.10%</w:t>
            </w:r>
          </w:p>
        </w:tc>
        <w:tc>
          <w:tcPr>
            <w:tcW w:type="dxa" w:w="2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38.20%</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36.50%</w:t>
            </w:r>
          </w:p>
        </w:tc>
      </w:tr>
      <w:tr>
        <w:tc>
          <w:tcPr>
            <w:tcW w:type="dxa" w:w="3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资产负债率（母公司）</w:t>
            </w:r>
          </w:p>
        </w:tc>
        <w:tc>
          <w:tcPr>
            <w:tcW w:type="dxa" w:w="2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45.20%</w:t>
            </w:r>
          </w:p>
        </w:tc>
        <w:tc>
          <w:tcPr>
            <w:tcW w:type="dxa" w:w="21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48.60%</w:t>
            </w:r>
          </w:p>
        </w:tc>
        <w:tc>
          <w:tcPr>
            <w:tcW w:type="dxa" w:w="23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52.30%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应收账款周转天数</w:t>
            </w:r>
          </w:p>
        </w:tc>
        <w:tc>
          <w:tcPr>
            <w:tcW w:type="dxa" w:w="2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145 天</w:t>
            </w:r>
          </w:p>
        </w:tc>
        <w:tc>
          <w:tcPr>
            <w:tcW w:type="dxa" w:w="2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128 天</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108 天</w:t>
            </w:r>
          </w:p>
        </w:tc>
      </w:tr>
    </w:tbl>
    <w:p>
      <w:r>
        <w:t xml:space="preserve"> </w:t>
      </w:r>
    </w:p>
    <w:p>
      <w:r>
        <w:br w:type="page"/>
      </w:r>
    </w:p>
    <w:p>
      <w:pPr>
        <w:pStyle w:val="Heading1"/>
      </w:pPr>
      <w:r>
        <w:t xml:space="preserve">第三节 风险因素</w:t>
      </w:r>
    </w:p>
    <w:p>
      <w:pPr>
        <w:pStyle w:val="Heading2"/>
      </w:pPr>
      <w:r>
        <w:t xml:space="preserve">一、经营风险</w:t>
      </w:r>
    </w:p>
    <w:p>
      <w:pPr>
        <w:pStyle w:val="Heading3"/>
      </w:pPr>
      <w:r>
        <w:t xml:space="preserve">（一）客户集中度较高的风险</w:t>
      </w:r>
    </w:p>
    <w:p>
      <w:pPr>
        <w:spacing w:after="100" w:line="340"/>
        <w:jc w:val="both"/>
      </w:pPr>
      <w:r>
        <w:t xml:space="preserve">报告期内，公司前五大客户销售收入占营业收入比例分别为 48.30%、52.60% 和 58.70%，呈逐年上升趋势，客户集中度较高。其中第一大客户华为技术有限公司 2025 年销售占比达 24.50%。若主要客户经营状况发生不利变化、需求结构调整或采购政策变动，可能对公司经营业绩产生重大不利影响。</w:t>
      </w:r>
    </w:p>
    <w:p>
      <w:pPr>
        <w:pStyle w:val="Heading3"/>
      </w:pPr>
      <w:r>
        <w:t xml:space="preserve">（二）关联交易占比上升的风险</w:t>
      </w:r>
    </w:p>
    <w:p>
      <w:pPr>
        <w:spacing w:after="100" w:line="340"/>
        <w:jc w:val="both"/>
      </w:pPr>
      <w:r>
        <w:t xml:space="preserve">报告期内，公司与控股股东陈景明先生控制的景驰智控科技有限公司存在关联销售交易，关联销售占营业收入比例分别为 8.20%、12.50% 和 18.30%，呈持续上升趋势。虽然公司已按照市场化原则进行定价，但关联交易规模扩大可能引发独立性风险。</w:t>
      </w:r>
    </w:p>
    <w:p>
      <w:pPr>
        <w:pStyle w:val="Heading3"/>
      </w:pPr>
      <w:r>
        <w:t xml:space="preserve">（三）应收账款回收风险</w:t>
      </w:r>
    </w:p>
    <w:p>
      <w:pPr>
        <w:spacing w:after="100" w:line="340"/>
        <w:jc w:val="both"/>
      </w:pPr>
      <w:r>
        <w:t xml:space="preserve">报告期内，公司应收账款余额分别为 1.45 亿元、2.38 亿元和 3.82 亿元，应收账款周转天数由 108 天延长至 145 天。若下游客户经营状况恶化，可能导致坏账损失增加，对公司经营业绩产生不利影响。</w:t>
      </w:r>
    </w:p>
    <w:p>
      <w:pPr>
        <w:pStyle w:val="Heading2"/>
      </w:pPr>
      <w:r>
        <w:t xml:space="preserve">二、技术与研发风险</w:t>
      </w:r>
    </w:p>
    <w:p>
      <w:pPr>
        <w:spacing w:after="100" w:line="340"/>
        <w:jc w:val="both"/>
      </w:pPr>
      <w:r>
        <w:t xml:space="preserve">工业机器人行业技术迭代速度快，若公司无法持续保持技术领先性，可能丧失竞争优势。公司新一代协作机器人项目尚在研发阶段，存在研发进度不及预期或产品商业化失败的风险。</w:t>
      </w:r>
    </w:p>
    <w:p>
      <w:pPr>
        <w:pStyle w:val="Heading2"/>
      </w:pPr>
      <w:r>
        <w:t xml:space="preserve">三、市场竞争风险</w:t>
      </w:r>
    </w:p>
    <w:p>
      <w:pPr>
        <w:spacing w:after="100" w:line="340"/>
        <w:jc w:val="both"/>
      </w:pPr>
      <w:r>
        <w:t xml:space="preserve">国内工业机器人市场竞争激烈，ABB、发那科、KUKA 等国际巨头及新松机器人、埃斯顿、汇川技术等国内龙头均为公司主要竞争对手。若公司无法持续提升产品性能和品牌影响力，市场份额可能被挤压。</w:t>
      </w:r>
    </w:p>
    <w:p>
      <w:pPr>
        <w:pStyle w:val="Heading2"/>
      </w:pPr>
      <w:r>
        <w:t xml:space="preserve">四、募集资金使用风险</w:t>
      </w:r>
    </w:p>
    <w:p>
      <w:pPr>
        <w:spacing w:after="100" w:line="340"/>
        <w:jc w:val="both"/>
      </w:pPr>
      <w:r>
        <w:t xml:space="preserve">本次募集资金投资项目预计 2028 年建成达产，若项目建设进度延迟、市场需求不及预期或行业政策变动，可能导致投资回报不及预期。</w:t>
      </w:r>
    </w:p>
    <w:p>
      <w:r>
        <w:t xml:space="preserve"> </w:t>
      </w:r>
    </w:p>
    <w:p>
      <w:pPr>
        <w:spacing w:after="100"/>
        <w:jc w:val="center"/>
        <w:rPr>
          <w:i/>
          <w:iCs/>
          <w:color w:val="808080"/>
          <w:sz w:val="18"/>
          <w:szCs w:val="18"/>
        </w:rPr>
      </w:pPr>
      <w:r>
        <w:rPr>
          <w:i/>
          <w:iCs/>
          <w:color w:val="808080"/>
          <w:sz w:val="18"/>
          <w:szCs w:val="18"/>
        </w:rPr>
        <w:t xml:space="preserve">（本章节后续包含：重要合同、同业竞争、高管履历、发行安排等 12 节，由 WorkBuddy 继续生成中）</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第 </w:t>
    </w:r>
    <w:r>
      <w:rPr>
        <w:color w:val="808080"/>
        <w:sz w:val="18"/>
        <w:szCs w:val="18"/>
      </w:rPr>
      <w:fldChar w:fldCharType="begin"/>
      <w:instrText xml:space="preserve">PAGE</w:instrText>
      <w:fldChar w:fldCharType="separate"/>
      <w:fldChar w:fldCharType="end"/>
    </w:r>
    <w:r>
      <w:rPr>
        <w:color w:val="808080"/>
        <w:sz w:val="18"/>
        <w:szCs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8"/>
        <w:szCs w:val="18"/>
      </w:rPr>
      <w:t xml:space="preserve">景明科技招股书章节初稿 | WorkBuddy 自动生成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思源黑体 CN" w:cs="思源黑体 CN" w:eastAsia="思源黑体 CN" w:hAnsi="思源黑体 C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00"/>
      <w:outlineLvl w:val="0"/>
    </w:pPr>
    <w:rPr>
      <w:rFonts w:ascii="思源黑体 CN" w:cs="思源黑体 CN" w:eastAsia="思源黑体 CN" w:hAnsi="思源黑体 CN"/>
      <w:b/>
      <w:bCs/>
      <w:color w:val="1F4E79"/>
      <w:sz w:val="36"/>
      <w:szCs w:val="36"/>
    </w:rPr>
  </w:style>
  <w:style w:type="paragraph" w:styleId="Heading2">
    <w:name w:val="Heading 2"/>
    <w:basedOn w:val="Normal"/>
    <w:next w:val="Normal"/>
    <w:qFormat/>
    <w:pPr>
      <w:spacing w:after="160" w:before="240"/>
      <w:outlineLvl w:val="1"/>
    </w:pPr>
    <w:rPr>
      <w:rFonts w:ascii="思源黑体 CN" w:cs="思源黑体 CN" w:eastAsia="思源黑体 CN" w:hAnsi="思源黑体 CN"/>
      <w:b/>
      <w:bCs/>
      <w:color w:val="2E75B6"/>
      <w:sz w:val="28"/>
      <w:szCs w:val="28"/>
    </w:rPr>
  </w:style>
  <w:style w:type="paragraph" w:styleId="Heading3">
    <w:name w:val="Heading 3"/>
    <w:basedOn w:val="Normal"/>
    <w:next w:val="Normal"/>
    <w:qFormat/>
    <w:pPr>
      <w:spacing w:after="120" w:before="180"/>
      <w:outlineLvl w:val="2"/>
    </w:pPr>
    <w:rPr>
      <w:rFonts w:ascii="思源黑体 CN" w:cs="思源黑体 CN" w:eastAsia="思源黑体 CN" w:hAnsi="思源黑体 CN"/>
      <w:b/>
      <w:bCs/>
      <w:color w:val="4040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2026-04-21T14:19:33.335Z</dcterms:created>
  <dcterms:modified xsi:type="dcterms:W3CDTF">2026-04-21T14:19:33.335Z</dcterms:modified>
</cp:coreProperties>
</file>

<file path=docProps/custom.xml><?xml version="1.0" encoding="utf-8"?>
<Properties xmlns="http://schemas.openxmlformats.org/officeDocument/2006/custom-properties" xmlns:vt="http://schemas.openxmlformats.org/officeDocument/2006/docPropsVTypes"/>
</file>